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678" w:rsidRDefault="00521A5B" w:rsidP="00521A5B">
      <w:pPr>
        <w:jc w:val="both"/>
      </w:pPr>
      <w:bookmarkStart w:id="0" w:name="_GoBack"/>
      <w:bookmarkEnd w:id="0"/>
      <w:r>
        <w:rPr>
          <w:noProof/>
          <w:lang w:eastAsia="en-GB"/>
        </w:rPr>
        <w:drawing>
          <wp:inline distT="0" distB="0" distL="0" distR="0" wp14:anchorId="540F6EF4" wp14:editId="6F2059E2">
            <wp:extent cx="3725839" cy="990082"/>
            <wp:effectExtent l="0" t="0" r="8255" b="635"/>
            <wp:docPr id="2" name="Picture 2" descr="C:\Users\nguyep\AppData\Local\Microsoft\Windows\Temporary Internet Files\Content.Outlook\ZW7WWT7X\FSANZ-log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uyep\AppData\Local\Microsoft\Windows\Temporary Internet Files\Content.Outlook\ZW7WWT7X\FSANZ-logo-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6179" cy="1006116"/>
                    </a:xfrm>
                    <a:prstGeom prst="rect">
                      <a:avLst/>
                    </a:prstGeom>
                    <a:noFill/>
                    <a:ln>
                      <a:noFill/>
                    </a:ln>
                  </pic:spPr>
                </pic:pic>
              </a:graphicData>
            </a:graphic>
          </wp:inline>
        </w:drawing>
      </w:r>
    </w:p>
    <w:p w:rsidR="00140678" w:rsidRDefault="00140678" w:rsidP="00140678">
      <w:r>
        <w:t xml:space="preserve">         </w:t>
      </w:r>
      <w:r w:rsidR="0069384C">
        <w:t xml:space="preserve">          </w:t>
      </w:r>
      <w:r>
        <w:t xml:space="preserve">                  </w:t>
      </w:r>
      <w:r>
        <w:rPr>
          <w:noProof/>
        </w:rPr>
        <w:t xml:space="preserve">       </w:t>
      </w:r>
      <w:r>
        <w:t xml:space="preserve">                         </w:t>
      </w:r>
    </w:p>
    <w:p w:rsidR="00140678" w:rsidRDefault="00140678" w:rsidP="00140678"/>
    <w:p w:rsidR="00140678" w:rsidRDefault="00140678" w:rsidP="00140678"/>
    <w:p w:rsidR="00521A5B" w:rsidRDefault="00521A5B" w:rsidP="00140678">
      <w:pPr>
        <w:jc w:val="center"/>
        <w:rPr>
          <w:rFonts w:cs="Arial"/>
          <w:b/>
          <w:sz w:val="56"/>
          <w:szCs w:val="56"/>
        </w:rPr>
      </w:pPr>
    </w:p>
    <w:p w:rsidR="00521A5B" w:rsidRDefault="00521A5B" w:rsidP="00140678">
      <w:pPr>
        <w:jc w:val="center"/>
        <w:rPr>
          <w:rFonts w:cs="Arial"/>
          <w:b/>
          <w:sz w:val="56"/>
          <w:szCs w:val="56"/>
        </w:rPr>
      </w:pPr>
    </w:p>
    <w:p w:rsidR="00521A5B" w:rsidRDefault="00521A5B" w:rsidP="00140678">
      <w:pPr>
        <w:jc w:val="center"/>
        <w:rPr>
          <w:rFonts w:cs="Arial"/>
          <w:b/>
          <w:sz w:val="56"/>
          <w:szCs w:val="56"/>
        </w:rPr>
      </w:pPr>
    </w:p>
    <w:p w:rsidR="00521A5B" w:rsidRDefault="00521A5B" w:rsidP="00140678">
      <w:pPr>
        <w:jc w:val="center"/>
        <w:rPr>
          <w:rFonts w:cs="Arial"/>
          <w:b/>
          <w:sz w:val="56"/>
          <w:szCs w:val="56"/>
        </w:rPr>
      </w:pPr>
    </w:p>
    <w:p w:rsidR="00521A5B" w:rsidRDefault="00521A5B" w:rsidP="00140678">
      <w:pPr>
        <w:jc w:val="center"/>
        <w:rPr>
          <w:rFonts w:cs="Arial"/>
          <w:b/>
          <w:sz w:val="56"/>
          <w:szCs w:val="56"/>
        </w:rPr>
      </w:pPr>
    </w:p>
    <w:p w:rsidR="00140678" w:rsidRPr="00DE4395" w:rsidRDefault="00140678" w:rsidP="00140678">
      <w:pPr>
        <w:jc w:val="center"/>
        <w:rPr>
          <w:rFonts w:cs="Arial"/>
          <w:b/>
          <w:sz w:val="56"/>
          <w:szCs w:val="56"/>
        </w:rPr>
      </w:pPr>
      <w:r w:rsidRPr="00DE4395">
        <w:rPr>
          <w:rFonts w:cs="Arial"/>
          <w:b/>
          <w:sz w:val="56"/>
          <w:szCs w:val="56"/>
        </w:rPr>
        <w:t>New Plant Breeding Techniques</w:t>
      </w:r>
    </w:p>
    <w:p w:rsidR="00DE4395" w:rsidRDefault="00DE4395" w:rsidP="00140678">
      <w:pPr>
        <w:jc w:val="center"/>
        <w:rPr>
          <w:rFonts w:cs="Arial"/>
          <w:b/>
        </w:rPr>
      </w:pPr>
    </w:p>
    <w:p w:rsidR="00DE4395" w:rsidRDefault="00500155" w:rsidP="00521A5B">
      <w:pPr>
        <w:spacing w:line="276" w:lineRule="auto"/>
        <w:jc w:val="center"/>
        <w:rPr>
          <w:rFonts w:cs="Arial"/>
          <w:b/>
          <w:sz w:val="28"/>
          <w:szCs w:val="28"/>
        </w:rPr>
      </w:pPr>
      <w:r w:rsidRPr="00DE4395">
        <w:rPr>
          <w:rFonts w:cs="Arial"/>
          <w:b/>
          <w:sz w:val="28"/>
          <w:szCs w:val="28"/>
        </w:rPr>
        <w:t>Report of a</w:t>
      </w:r>
      <w:r w:rsidR="00140678" w:rsidRPr="00DE4395">
        <w:rPr>
          <w:rFonts w:cs="Arial"/>
          <w:b/>
          <w:sz w:val="28"/>
          <w:szCs w:val="28"/>
        </w:rPr>
        <w:t xml:space="preserve"> Workshop hosted by</w:t>
      </w:r>
    </w:p>
    <w:p w:rsidR="00140678" w:rsidRPr="00DE4395" w:rsidRDefault="00140678" w:rsidP="00521A5B">
      <w:pPr>
        <w:spacing w:line="276" w:lineRule="auto"/>
        <w:jc w:val="center"/>
        <w:rPr>
          <w:rFonts w:cs="Arial"/>
          <w:b/>
          <w:sz w:val="28"/>
          <w:szCs w:val="28"/>
        </w:rPr>
      </w:pPr>
      <w:r w:rsidRPr="00DE4395">
        <w:rPr>
          <w:rFonts w:cs="Arial"/>
          <w:b/>
          <w:sz w:val="28"/>
          <w:szCs w:val="28"/>
        </w:rPr>
        <w:t>Food Standards Australia New Zealand</w:t>
      </w:r>
    </w:p>
    <w:p w:rsidR="00140678" w:rsidRPr="00DE4395" w:rsidRDefault="00140678" w:rsidP="00140678">
      <w:pPr>
        <w:jc w:val="center"/>
        <w:rPr>
          <w:rFonts w:cs="Arial"/>
          <w:b/>
          <w:sz w:val="28"/>
          <w:szCs w:val="28"/>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rPr>
      </w:pPr>
    </w:p>
    <w:p w:rsidR="00BB513D" w:rsidRDefault="00BB513D" w:rsidP="00BB513D">
      <w:pPr>
        <w:rPr>
          <w:rFonts w:cs="Arial"/>
          <w:b/>
          <w:bCs/>
          <w:i/>
          <w:sz w:val="20"/>
          <w:szCs w:val="20"/>
        </w:rPr>
      </w:pPr>
    </w:p>
    <w:p w:rsidR="00BB513D" w:rsidRDefault="00BB513D" w:rsidP="00BB513D">
      <w:pPr>
        <w:rPr>
          <w:rFonts w:cs="Arial"/>
          <w:b/>
          <w:bCs/>
          <w:i/>
          <w:sz w:val="20"/>
          <w:szCs w:val="20"/>
        </w:rPr>
      </w:pPr>
    </w:p>
    <w:p w:rsidR="00BB513D" w:rsidRDefault="00BB513D" w:rsidP="00BB513D">
      <w:pPr>
        <w:rPr>
          <w:rFonts w:cs="Arial"/>
          <w:b/>
          <w:bCs/>
          <w:i/>
          <w:sz w:val="20"/>
          <w:szCs w:val="20"/>
        </w:rPr>
      </w:pPr>
    </w:p>
    <w:p w:rsidR="00BB513D" w:rsidRDefault="00BB513D" w:rsidP="00BB513D">
      <w:pPr>
        <w:rPr>
          <w:rFonts w:cs="Arial"/>
          <w:b/>
          <w:bCs/>
          <w:i/>
          <w:sz w:val="20"/>
          <w:szCs w:val="20"/>
        </w:rPr>
      </w:pPr>
    </w:p>
    <w:p w:rsidR="00BB513D" w:rsidRDefault="00BB513D" w:rsidP="00BB513D">
      <w:pPr>
        <w:rPr>
          <w:rFonts w:cs="Arial"/>
          <w:b/>
          <w:bCs/>
          <w:i/>
          <w:sz w:val="20"/>
          <w:szCs w:val="20"/>
        </w:rPr>
      </w:pPr>
    </w:p>
    <w:p w:rsidR="00841A44" w:rsidRDefault="00841A44">
      <w:pPr>
        <w:spacing w:after="200" w:line="276" w:lineRule="auto"/>
        <w:rPr>
          <w:rFonts w:cs="Arial"/>
          <w:b/>
          <w:bCs/>
          <w:i/>
          <w:sz w:val="20"/>
          <w:szCs w:val="20"/>
        </w:rPr>
      </w:pPr>
      <w:r>
        <w:rPr>
          <w:rFonts w:cs="Arial"/>
          <w:b/>
          <w:bCs/>
          <w:i/>
          <w:sz w:val="20"/>
          <w:szCs w:val="20"/>
        </w:rPr>
        <w:br w:type="page"/>
      </w:r>
    </w:p>
    <w:p w:rsidR="00BB513D" w:rsidRPr="00BB513D" w:rsidRDefault="00BB513D" w:rsidP="00BB513D">
      <w:pPr>
        <w:rPr>
          <w:rFonts w:cs="Arial"/>
          <w:b/>
          <w:bCs/>
          <w:i/>
          <w:sz w:val="20"/>
          <w:szCs w:val="20"/>
        </w:rPr>
      </w:pPr>
      <w:r w:rsidRPr="00BB513D">
        <w:rPr>
          <w:rFonts w:cs="Arial"/>
          <w:b/>
          <w:bCs/>
          <w:i/>
          <w:sz w:val="20"/>
          <w:szCs w:val="20"/>
        </w:rPr>
        <w:lastRenderedPageBreak/>
        <w:t>Disclaimer</w:t>
      </w:r>
    </w:p>
    <w:p w:rsidR="001B5835" w:rsidRDefault="001B5835" w:rsidP="00BB513D">
      <w:pPr>
        <w:rPr>
          <w:rStyle w:val="apple-style-span"/>
          <w:rFonts w:cs="Arial"/>
          <w:i/>
          <w:sz w:val="20"/>
          <w:szCs w:val="20"/>
          <w:shd w:val="clear" w:color="auto" w:fill="FFFFFF"/>
        </w:rPr>
      </w:pPr>
      <w:r>
        <w:rPr>
          <w:rStyle w:val="apple-style-span"/>
          <w:rFonts w:cs="Arial"/>
          <w:i/>
          <w:sz w:val="20"/>
          <w:szCs w:val="20"/>
          <w:shd w:val="clear" w:color="auto" w:fill="FFFFFF"/>
        </w:rPr>
        <w:t>FSANZ disclaims any liability for any loss or injury directly or indirectly sustained by any person as a result of any use of or reliance upon the content of this report.</w:t>
      </w:r>
    </w:p>
    <w:p w:rsidR="001B5835" w:rsidRDefault="001B5835" w:rsidP="00BB513D">
      <w:pPr>
        <w:rPr>
          <w:rStyle w:val="apple-style-span"/>
          <w:rFonts w:cs="Arial"/>
          <w:i/>
          <w:sz w:val="20"/>
          <w:szCs w:val="20"/>
          <w:shd w:val="clear" w:color="auto" w:fill="FFFFFF"/>
        </w:rPr>
      </w:pPr>
    </w:p>
    <w:p w:rsidR="00BB513D" w:rsidRPr="00BB513D" w:rsidRDefault="00BB513D" w:rsidP="00BB513D">
      <w:pPr>
        <w:rPr>
          <w:rFonts w:cs="Arial"/>
          <w:i/>
          <w:sz w:val="20"/>
          <w:szCs w:val="20"/>
        </w:rPr>
      </w:pPr>
      <w:r w:rsidRPr="00BB513D">
        <w:rPr>
          <w:rStyle w:val="apple-style-span"/>
          <w:rFonts w:cs="Arial"/>
          <w:i/>
          <w:sz w:val="20"/>
          <w:szCs w:val="20"/>
          <w:shd w:val="clear" w:color="auto" w:fill="FFFFFF"/>
        </w:rPr>
        <w:t xml:space="preserve">The content of this report is a summary of discussions of an external expert panel and does not necessarily reflect the views of FSANZ or FSANZ staff.  </w:t>
      </w:r>
      <w:r w:rsidRPr="00BB513D">
        <w:rPr>
          <w:rFonts w:cs="Arial"/>
          <w:i/>
          <w:sz w:val="20"/>
          <w:szCs w:val="20"/>
        </w:rPr>
        <w:t>The information in this report is provided for information purposes only. No representation is made or warranty given as to the suitability of any of the content for any particular purpose or to the professional qualifications of any person or company referred to therein.</w:t>
      </w:r>
    </w:p>
    <w:p w:rsidR="00BB513D" w:rsidRPr="00BB513D" w:rsidRDefault="00BB513D" w:rsidP="00BB513D">
      <w:pPr>
        <w:rPr>
          <w:rFonts w:cs="Arial"/>
          <w:i/>
          <w:sz w:val="20"/>
          <w:szCs w:val="20"/>
        </w:rPr>
      </w:pPr>
    </w:p>
    <w:p w:rsidR="00224BFC" w:rsidRDefault="00BB513D" w:rsidP="00BB513D">
      <w:pPr>
        <w:rPr>
          <w:rFonts w:eastAsiaTheme="majorEastAsia" w:cstheme="majorBidi"/>
          <w:b/>
          <w:bCs/>
          <w:sz w:val="24"/>
          <w:szCs w:val="24"/>
          <w:lang w:eastAsia="en-AU"/>
        </w:rPr>
      </w:pPr>
      <w:r w:rsidRPr="00BB513D">
        <w:rPr>
          <w:rFonts w:cs="Arial"/>
          <w:i/>
          <w:sz w:val="20"/>
          <w:szCs w:val="20"/>
        </w:rPr>
        <w:t>The information in this report should not be relied upon as legal advice or used as a substitute for legal advice. You should also exercise your own skill, care and judgement before relying on this information in any important matter</w:t>
      </w:r>
      <w:r w:rsidRPr="00BB513D">
        <w:rPr>
          <w:rStyle w:val="apple-style-span"/>
          <w:rFonts w:cs="Arial"/>
          <w:i/>
          <w:sz w:val="20"/>
          <w:szCs w:val="20"/>
          <w:shd w:val="clear" w:color="auto" w:fill="FFFFFF"/>
        </w:rPr>
        <w:t xml:space="preserve"> </w:t>
      </w:r>
      <w:r w:rsidRPr="00BB513D">
        <w:rPr>
          <w:rFonts w:cs="Arial"/>
          <w:i/>
          <w:sz w:val="20"/>
          <w:szCs w:val="20"/>
          <w:lang w:val="en-AU"/>
        </w:rPr>
        <w:t xml:space="preserve">and seek independent legal advice, including in relation to </w:t>
      </w:r>
      <w:r w:rsidRPr="00BB513D">
        <w:rPr>
          <w:rFonts w:cs="Arial"/>
          <w:i/>
          <w:sz w:val="20"/>
          <w:szCs w:val="20"/>
        </w:rPr>
        <w:t>compliance with relevant food legislation and the Australia New Zealand Food Standards Code.</w:t>
      </w:r>
    </w:p>
    <w:p w:rsidR="00841A44" w:rsidRDefault="00841A44">
      <w:pPr>
        <w:spacing w:after="200" w:line="276" w:lineRule="auto"/>
        <w:rPr>
          <w:rFonts w:ascii="Arial Bold" w:eastAsiaTheme="majorEastAsia" w:hAnsi="Arial Bold" w:cs="Arial"/>
          <w:b/>
          <w:bCs/>
          <w:caps/>
          <w:sz w:val="28"/>
        </w:rPr>
      </w:pPr>
      <w:bookmarkStart w:id="1" w:name="_Toc350235763"/>
      <w:r>
        <w:br w:type="page"/>
      </w:r>
    </w:p>
    <w:p w:rsidR="00F56904" w:rsidRDefault="00396DD0" w:rsidP="00D03993">
      <w:pPr>
        <w:pStyle w:val="Heading2"/>
      </w:pPr>
      <w:r>
        <w:lastRenderedPageBreak/>
        <w:t>EXECUTIVE SUMMARY</w:t>
      </w:r>
      <w:bookmarkEnd w:id="1"/>
    </w:p>
    <w:p w:rsidR="007E622C" w:rsidRDefault="007E622C" w:rsidP="00791D10">
      <w:pPr>
        <w:rPr>
          <w:rFonts w:cs="Arial"/>
        </w:rPr>
      </w:pPr>
    </w:p>
    <w:p w:rsidR="008A2B32" w:rsidRDefault="00791D10" w:rsidP="00791D10">
      <w:pPr>
        <w:rPr>
          <w:rFonts w:cs="Arial"/>
        </w:rPr>
      </w:pPr>
      <w:r w:rsidRPr="00844EA4">
        <w:rPr>
          <w:rFonts w:cs="Arial"/>
        </w:rPr>
        <w:t xml:space="preserve">Food Standards Australia New Zealand (FSANZ) convened an expert </w:t>
      </w:r>
      <w:r>
        <w:rPr>
          <w:rFonts w:cs="Arial"/>
        </w:rPr>
        <w:t xml:space="preserve">scientific </w:t>
      </w:r>
      <w:r w:rsidRPr="00844EA4">
        <w:rPr>
          <w:rFonts w:cs="Arial"/>
        </w:rPr>
        <w:t xml:space="preserve">panel to provide advice </w:t>
      </w:r>
      <w:r>
        <w:rPr>
          <w:rFonts w:cs="Arial"/>
        </w:rPr>
        <w:t>on</w:t>
      </w:r>
      <w:r w:rsidRPr="00844EA4">
        <w:rPr>
          <w:rFonts w:cs="Arial"/>
        </w:rPr>
        <w:t xml:space="preserve"> a number of new plant breeding techniques </w:t>
      </w:r>
      <w:r>
        <w:rPr>
          <w:rFonts w:cs="Arial"/>
        </w:rPr>
        <w:t>that have come to the attention of regulators</w:t>
      </w:r>
      <w:r w:rsidRPr="00844EA4">
        <w:rPr>
          <w:rFonts w:cs="Arial"/>
        </w:rPr>
        <w:t xml:space="preserve">. </w:t>
      </w:r>
      <w:r w:rsidR="00541A2D" w:rsidRPr="007E622C">
        <w:rPr>
          <w:rFonts w:cs="Arial"/>
          <w:b/>
        </w:rPr>
        <w:t>Appendix 1</w:t>
      </w:r>
      <w:r w:rsidR="00541A2D">
        <w:rPr>
          <w:rFonts w:cs="Arial"/>
        </w:rPr>
        <w:t xml:space="preserve"> provides details of the membership of the panel. </w:t>
      </w:r>
      <w:r w:rsidRPr="00844EA4">
        <w:rPr>
          <w:rFonts w:cs="Arial"/>
        </w:rPr>
        <w:t>The techniques discussed were:</w:t>
      </w:r>
    </w:p>
    <w:p w:rsidR="008A2B32" w:rsidRDefault="008A2B32" w:rsidP="00791D10">
      <w:pPr>
        <w:rPr>
          <w:rFonts w:cs="Arial"/>
        </w:rPr>
      </w:pPr>
    </w:p>
    <w:p w:rsidR="008A2B32" w:rsidRPr="00E66C72" w:rsidRDefault="00791D10" w:rsidP="00E66C72">
      <w:pPr>
        <w:pStyle w:val="ListParagraph"/>
        <w:numPr>
          <w:ilvl w:val="0"/>
          <w:numId w:val="23"/>
        </w:numPr>
        <w:ind w:left="426" w:hanging="426"/>
      </w:pPr>
      <w:r w:rsidRPr="00E66C72">
        <w:rPr>
          <w:rFonts w:cs="Arial"/>
          <w:b/>
        </w:rPr>
        <w:t xml:space="preserve">Pioneer </w:t>
      </w:r>
      <w:r w:rsidR="00EE5786" w:rsidRPr="00E66C72">
        <w:rPr>
          <w:rFonts w:cs="Arial"/>
          <w:b/>
        </w:rPr>
        <w:t>Hi</w:t>
      </w:r>
      <w:r w:rsidR="008E03C9" w:rsidRPr="00E66C72">
        <w:rPr>
          <w:rFonts w:cs="Arial"/>
          <w:b/>
        </w:rPr>
        <w:t>-</w:t>
      </w:r>
      <w:r w:rsidR="00EE5786" w:rsidRPr="00E66C72">
        <w:rPr>
          <w:rFonts w:cs="Arial"/>
          <w:b/>
        </w:rPr>
        <w:t xml:space="preserve">Bred International’s </w:t>
      </w:r>
      <w:r w:rsidRPr="00E66C72">
        <w:rPr>
          <w:rFonts w:cs="Arial"/>
          <w:b/>
        </w:rPr>
        <w:t>proprietary seed production technology (SPT)</w:t>
      </w:r>
      <w:r w:rsidR="00E66C72" w:rsidRPr="00E66C72">
        <w:rPr>
          <w:rFonts w:cs="Arial"/>
        </w:rPr>
        <w:t xml:space="preserve"> -d</w:t>
      </w:r>
      <w:r w:rsidR="008A2B32" w:rsidRPr="00E66C72">
        <w:t xml:space="preserve">eveloped for use in corn to improve the efficiency of hybrid seed production. It involves using a </w:t>
      </w:r>
      <w:r w:rsidR="00976B10">
        <w:t>genetically modified (</w:t>
      </w:r>
      <w:r w:rsidR="008A2B32" w:rsidRPr="00E66C72">
        <w:t>GM</w:t>
      </w:r>
      <w:r w:rsidR="00976B10">
        <w:t>)</w:t>
      </w:r>
      <w:r w:rsidR="008A2B32" w:rsidRPr="00E66C72">
        <w:t xml:space="preserve"> plant line to propagate a male-sterile plant line which is then used as one of the parents to produce hybrid seed. The genetic modification is not inherited by the hybrid plant line.</w:t>
      </w:r>
    </w:p>
    <w:p w:rsidR="005F5439" w:rsidRPr="00E66C72" w:rsidRDefault="005F5439" w:rsidP="00D41BD4">
      <w:pPr>
        <w:pStyle w:val="ListParagraph"/>
        <w:ind w:left="0"/>
        <w:rPr>
          <w:rFonts w:cs="Arial"/>
        </w:rPr>
      </w:pPr>
    </w:p>
    <w:p w:rsidR="005F5439" w:rsidRPr="00E66C72" w:rsidRDefault="005F5439" w:rsidP="00E66C72">
      <w:pPr>
        <w:pStyle w:val="ListParagraph"/>
        <w:numPr>
          <w:ilvl w:val="0"/>
          <w:numId w:val="23"/>
        </w:numPr>
        <w:ind w:left="426" w:hanging="426"/>
        <w:rPr>
          <w:rFonts w:cs="Arial"/>
          <w:b/>
        </w:rPr>
      </w:pPr>
      <w:r w:rsidRPr="00E66C72">
        <w:rPr>
          <w:rFonts w:cs="Arial"/>
          <w:b/>
        </w:rPr>
        <w:t>R</w:t>
      </w:r>
      <w:r w:rsidR="00791D10" w:rsidRPr="00E66C72">
        <w:rPr>
          <w:rFonts w:cs="Arial"/>
          <w:b/>
        </w:rPr>
        <w:t>everse breeding</w:t>
      </w:r>
      <w:r w:rsidR="00E66C72">
        <w:rPr>
          <w:rFonts w:cs="Arial"/>
          <w:b/>
        </w:rPr>
        <w:t xml:space="preserve"> </w:t>
      </w:r>
      <w:r w:rsidR="00E66C72" w:rsidRPr="00E66C72">
        <w:rPr>
          <w:rFonts w:cs="Arial"/>
        </w:rPr>
        <w:t>- a</w:t>
      </w:r>
      <w:r w:rsidR="008A2B32" w:rsidRPr="00E66C72">
        <w:rPr>
          <w:rFonts w:cs="Arial"/>
        </w:rPr>
        <w:t xml:space="preserve"> novel plant breeding technique </w:t>
      </w:r>
      <w:r w:rsidR="008A2B32" w:rsidRPr="00E66C72">
        <w:t>that involves suppressing meiotic recombination in order</w:t>
      </w:r>
      <w:r w:rsidR="00456F68" w:rsidRPr="00E66C72">
        <w:t xml:space="preserve"> </w:t>
      </w:r>
      <w:r w:rsidR="008A2B32" w:rsidRPr="00E66C72">
        <w:t>to recreate homozygous parental lines that, once hybridised, reconstitute the composition of an elite heterozygous plant without the need for backcrossing or selection.</w:t>
      </w:r>
    </w:p>
    <w:p w:rsidR="008A2B32" w:rsidRPr="00E66C72" w:rsidRDefault="008A2B32" w:rsidP="00E66C72">
      <w:pPr>
        <w:pStyle w:val="ListParagraph"/>
        <w:ind w:left="426" w:hanging="426"/>
        <w:rPr>
          <w:rFonts w:cs="Arial"/>
        </w:rPr>
      </w:pPr>
      <w:r w:rsidRPr="00E66C72">
        <w:t xml:space="preserve"> </w:t>
      </w:r>
    </w:p>
    <w:p w:rsidR="008A2B32" w:rsidRPr="00E66C72" w:rsidRDefault="005F5439" w:rsidP="00E66C72">
      <w:pPr>
        <w:pStyle w:val="ListParagraph"/>
        <w:numPr>
          <w:ilvl w:val="0"/>
          <w:numId w:val="23"/>
        </w:numPr>
        <w:ind w:left="426" w:hanging="426"/>
        <w:rPr>
          <w:b/>
        </w:rPr>
      </w:pPr>
      <w:r w:rsidRPr="00E66C72">
        <w:rPr>
          <w:rFonts w:cs="Arial"/>
          <w:b/>
        </w:rPr>
        <w:t>C</w:t>
      </w:r>
      <w:r w:rsidR="00791D10" w:rsidRPr="00E66C72">
        <w:rPr>
          <w:rFonts w:cs="Arial"/>
          <w:b/>
        </w:rPr>
        <w:t>isgenesis</w:t>
      </w:r>
      <w:r w:rsidRPr="00E66C72">
        <w:rPr>
          <w:rFonts w:cs="Arial"/>
          <w:b/>
        </w:rPr>
        <w:t xml:space="preserve"> and </w:t>
      </w:r>
      <w:r w:rsidR="00791D10" w:rsidRPr="00E66C72">
        <w:rPr>
          <w:rFonts w:cs="Arial"/>
          <w:b/>
        </w:rPr>
        <w:t>intragenesis</w:t>
      </w:r>
      <w:r w:rsidR="00E66C72">
        <w:rPr>
          <w:rFonts w:cs="Arial"/>
          <w:b/>
        </w:rPr>
        <w:t xml:space="preserve"> </w:t>
      </w:r>
      <w:r w:rsidR="00E66C72" w:rsidRPr="00E66C72">
        <w:rPr>
          <w:rFonts w:cs="Arial"/>
        </w:rPr>
        <w:t>- i</w:t>
      </w:r>
      <w:r w:rsidR="000608D5" w:rsidRPr="00E66C72">
        <w:t>nvolve transferring a new gene into the genome of a plant using gene technology. In both cases the gene is derived from either the same or a cross-compatible species.</w:t>
      </w:r>
    </w:p>
    <w:p w:rsidR="00700C01" w:rsidRPr="00E66C72" w:rsidRDefault="00700C01" w:rsidP="00E66C72">
      <w:pPr>
        <w:pStyle w:val="ListParagraph"/>
        <w:ind w:left="426" w:hanging="426"/>
        <w:rPr>
          <w:rFonts w:cs="Arial"/>
        </w:rPr>
      </w:pPr>
    </w:p>
    <w:p w:rsidR="008A2B32" w:rsidRPr="00E66C72" w:rsidRDefault="00791D10" w:rsidP="00E66C72">
      <w:pPr>
        <w:pStyle w:val="ListParagraph"/>
        <w:numPr>
          <w:ilvl w:val="0"/>
          <w:numId w:val="23"/>
        </w:numPr>
        <w:ind w:left="426" w:hanging="426"/>
        <w:rPr>
          <w:b/>
        </w:rPr>
      </w:pPr>
      <w:r w:rsidRPr="00E66C72">
        <w:rPr>
          <w:rFonts w:cs="Arial"/>
          <w:b/>
        </w:rPr>
        <w:t>GM rootstock grafting</w:t>
      </w:r>
      <w:r w:rsidR="00E66C72">
        <w:rPr>
          <w:rFonts w:cs="Arial"/>
          <w:b/>
        </w:rPr>
        <w:t xml:space="preserve"> </w:t>
      </w:r>
      <w:r w:rsidR="00E66C72" w:rsidRPr="00E66C72">
        <w:rPr>
          <w:rFonts w:cs="Arial"/>
        </w:rPr>
        <w:t>- i</w:t>
      </w:r>
      <w:r w:rsidR="000608D5" w:rsidRPr="00E66C72">
        <w:t xml:space="preserve">nvolves grafting the vegetative part of a non-GM plant (the scion) onto the rootstock of a GM plant to create a chimeric plant that shares a single vascular system. </w:t>
      </w:r>
    </w:p>
    <w:p w:rsidR="00700C01" w:rsidRPr="00E66C72" w:rsidRDefault="00700C01" w:rsidP="00E66C72">
      <w:pPr>
        <w:pStyle w:val="ListParagraph"/>
        <w:ind w:left="426" w:hanging="426"/>
        <w:rPr>
          <w:rFonts w:cs="Arial"/>
        </w:rPr>
      </w:pPr>
    </w:p>
    <w:p w:rsidR="008A2B32" w:rsidRPr="00E66C72" w:rsidRDefault="00700C01" w:rsidP="00E66C72">
      <w:pPr>
        <w:pStyle w:val="ListParagraph"/>
        <w:numPr>
          <w:ilvl w:val="0"/>
          <w:numId w:val="23"/>
        </w:numPr>
        <w:ind w:left="426" w:hanging="426"/>
        <w:rPr>
          <w:rFonts w:cs="Arial"/>
          <w:b/>
        </w:rPr>
      </w:pPr>
      <w:r w:rsidRPr="00E66C72">
        <w:rPr>
          <w:rFonts w:cs="Arial"/>
          <w:b/>
        </w:rPr>
        <w:t>O</w:t>
      </w:r>
      <w:r w:rsidR="00791D10" w:rsidRPr="00E66C72">
        <w:rPr>
          <w:rFonts w:cs="Arial"/>
          <w:b/>
        </w:rPr>
        <w:t>ligo-directed mutagenesis (ODM)</w:t>
      </w:r>
      <w:r w:rsidR="00E66C72">
        <w:rPr>
          <w:rFonts w:cs="Arial"/>
          <w:b/>
        </w:rPr>
        <w:t xml:space="preserve"> </w:t>
      </w:r>
      <w:r w:rsidR="00E66C72" w:rsidRPr="00E66C72">
        <w:rPr>
          <w:rFonts w:cs="Arial"/>
        </w:rPr>
        <w:t>- i</w:t>
      </w:r>
      <w:r w:rsidR="00C64CD0" w:rsidRPr="00E66C72">
        <w:rPr>
          <w:rFonts w:cs="Arial"/>
        </w:rPr>
        <w:t xml:space="preserve">nvolves the use of synthetic oligonucleotides to introduce small, site-specific </w:t>
      </w:r>
      <w:r w:rsidRPr="00E66C72">
        <w:rPr>
          <w:rFonts w:cs="Arial"/>
        </w:rPr>
        <w:t xml:space="preserve">mutations </w:t>
      </w:r>
      <w:r w:rsidR="00C64CD0" w:rsidRPr="00E66C72">
        <w:rPr>
          <w:rFonts w:cs="Arial"/>
        </w:rPr>
        <w:t xml:space="preserve">into the plant genome. </w:t>
      </w:r>
    </w:p>
    <w:p w:rsidR="00700C01" w:rsidRPr="00E66C72" w:rsidRDefault="00700C01" w:rsidP="00E66C72">
      <w:pPr>
        <w:pStyle w:val="ListParagraph"/>
        <w:ind w:left="426" w:hanging="426"/>
        <w:rPr>
          <w:rFonts w:cs="Arial"/>
        </w:rPr>
      </w:pPr>
    </w:p>
    <w:p w:rsidR="008A2B32" w:rsidRPr="00E66C72" w:rsidRDefault="00700C01" w:rsidP="00E66C72">
      <w:pPr>
        <w:pStyle w:val="ListParagraph"/>
        <w:numPr>
          <w:ilvl w:val="0"/>
          <w:numId w:val="23"/>
        </w:numPr>
        <w:ind w:left="426" w:hanging="426"/>
        <w:rPr>
          <w:rFonts w:cs="Arial"/>
          <w:b/>
        </w:rPr>
      </w:pPr>
      <w:r w:rsidRPr="00E66C72">
        <w:rPr>
          <w:rFonts w:cs="Arial"/>
          <w:b/>
        </w:rPr>
        <w:t>Z</w:t>
      </w:r>
      <w:r w:rsidR="00791D10" w:rsidRPr="00E66C72">
        <w:rPr>
          <w:rFonts w:cs="Arial"/>
          <w:b/>
        </w:rPr>
        <w:t>inc-finger nuclease (ZFN) technology</w:t>
      </w:r>
      <w:r w:rsidR="00E66C72">
        <w:rPr>
          <w:rFonts w:cs="Arial"/>
          <w:b/>
        </w:rPr>
        <w:t xml:space="preserve"> </w:t>
      </w:r>
      <w:r w:rsidR="00E66C72" w:rsidRPr="00E66C72">
        <w:rPr>
          <w:rFonts w:cs="Arial"/>
        </w:rPr>
        <w:t>- i</w:t>
      </w:r>
      <w:r w:rsidR="00C64CD0" w:rsidRPr="00E66C72">
        <w:rPr>
          <w:rFonts w:cs="Arial"/>
        </w:rPr>
        <w:t xml:space="preserve">nvolves the use of an engineered zinc finger nuclease to introduce site-specific </w:t>
      </w:r>
      <w:r w:rsidR="00FA0A84" w:rsidRPr="00E66C72">
        <w:rPr>
          <w:rFonts w:cs="Arial"/>
        </w:rPr>
        <w:t xml:space="preserve">mutations </w:t>
      </w:r>
      <w:r w:rsidR="00C64CD0" w:rsidRPr="00E66C72">
        <w:rPr>
          <w:rFonts w:cs="Arial"/>
        </w:rPr>
        <w:t xml:space="preserve">into the plant genome. </w:t>
      </w:r>
      <w:r w:rsidR="00042162" w:rsidRPr="00E66C72">
        <w:rPr>
          <w:rFonts w:cs="Arial"/>
        </w:rPr>
        <w:t xml:space="preserve">Depending on the type of ZFN technology deployed, </w:t>
      </w:r>
      <w:r w:rsidR="00C64CD0" w:rsidRPr="00E66C72">
        <w:rPr>
          <w:rFonts w:cs="Arial"/>
        </w:rPr>
        <w:t xml:space="preserve">mutations can </w:t>
      </w:r>
      <w:r w:rsidR="00042162" w:rsidRPr="00E66C72">
        <w:rPr>
          <w:rFonts w:cs="Arial"/>
        </w:rPr>
        <w:t>either be restricted to one or a few nucleotides or involve the insertion of a new piece of DNA.</w:t>
      </w:r>
    </w:p>
    <w:p w:rsidR="008A2B32" w:rsidRDefault="008A2B32" w:rsidP="00791D10">
      <w:pPr>
        <w:rPr>
          <w:rFonts w:cs="Arial"/>
        </w:rPr>
      </w:pPr>
    </w:p>
    <w:p w:rsidR="00791D10" w:rsidRDefault="00791D10" w:rsidP="00791D10">
      <w:pPr>
        <w:rPr>
          <w:rFonts w:cs="Arial"/>
        </w:rPr>
      </w:pPr>
      <w:r>
        <w:rPr>
          <w:rFonts w:cs="Arial"/>
        </w:rPr>
        <w:t xml:space="preserve">The objectives of the workshop were to: </w:t>
      </w:r>
      <w:r w:rsidR="006B13DF">
        <w:rPr>
          <w:rFonts w:cs="Arial"/>
        </w:rPr>
        <w:t>enhance</w:t>
      </w:r>
      <w:r>
        <w:rPr>
          <w:rFonts w:cs="Arial"/>
        </w:rPr>
        <w:t xml:space="preserve"> FSANZ’s </w:t>
      </w:r>
      <w:r w:rsidR="00E541FA">
        <w:rPr>
          <w:rFonts w:cs="Arial"/>
        </w:rPr>
        <w:t xml:space="preserve">scientific </w:t>
      </w:r>
      <w:r>
        <w:rPr>
          <w:rFonts w:cs="Arial"/>
        </w:rPr>
        <w:t xml:space="preserve">knowledge and understanding of each of the techniques; </w:t>
      </w:r>
      <w:r w:rsidR="00F01724">
        <w:rPr>
          <w:rFonts w:cs="Arial"/>
        </w:rPr>
        <w:t xml:space="preserve">and </w:t>
      </w:r>
      <w:r w:rsidR="00F01724">
        <w:t xml:space="preserve">provide scientific advice on the nature of </w:t>
      </w:r>
      <w:r w:rsidR="00E541FA">
        <w:t>derived</w:t>
      </w:r>
      <w:r w:rsidR="00F01724">
        <w:t xml:space="preserve"> food </w:t>
      </w:r>
      <w:r w:rsidR="00E541FA">
        <w:t>products</w:t>
      </w:r>
      <w:r w:rsidR="009816A4">
        <w:t xml:space="preserve">. </w:t>
      </w:r>
      <w:r w:rsidR="0044511B">
        <w:rPr>
          <w:rFonts w:cs="Arial"/>
        </w:rPr>
        <w:t xml:space="preserve">It was not the role of the panel to make a legal determination as to whether </w:t>
      </w:r>
      <w:r w:rsidR="009816A4">
        <w:rPr>
          <w:rFonts w:cs="Arial"/>
        </w:rPr>
        <w:t xml:space="preserve">the techniques or their </w:t>
      </w:r>
      <w:r w:rsidR="0044511B">
        <w:rPr>
          <w:rFonts w:cs="Arial"/>
        </w:rPr>
        <w:t xml:space="preserve">derived food products would come within the definition of ‘food produced using gene technology’ in Standard 1.5.2 of the </w:t>
      </w:r>
      <w:r w:rsidR="0044511B" w:rsidRPr="0044511B">
        <w:rPr>
          <w:rFonts w:cs="Arial"/>
          <w:i/>
        </w:rPr>
        <w:t>Australia New Zealand Food Standards Code</w:t>
      </w:r>
      <w:r w:rsidR="0044511B">
        <w:rPr>
          <w:rFonts w:cs="Arial"/>
        </w:rPr>
        <w:t>.</w:t>
      </w:r>
      <w:r w:rsidR="009816A4">
        <w:rPr>
          <w:rFonts w:cs="Arial"/>
        </w:rPr>
        <w:t xml:space="preserve"> However, the expert panel were asked to provide their scientific opinion </w:t>
      </w:r>
      <w:r w:rsidR="00071F7F">
        <w:rPr>
          <w:rFonts w:cs="Arial"/>
        </w:rPr>
        <w:t>on</w:t>
      </w:r>
      <w:r w:rsidR="009816A4">
        <w:rPr>
          <w:rFonts w:cs="Arial"/>
        </w:rPr>
        <w:t xml:space="preserve"> whether derived food products should be regarded as GM food. </w:t>
      </w:r>
    </w:p>
    <w:p w:rsidR="00791D10" w:rsidRDefault="00791D10" w:rsidP="00791D10">
      <w:pPr>
        <w:rPr>
          <w:rFonts w:cs="Arial"/>
        </w:rPr>
      </w:pPr>
    </w:p>
    <w:p w:rsidR="007E622C" w:rsidRDefault="00976B10" w:rsidP="00976B10">
      <w:pPr>
        <w:rPr>
          <w:rFonts w:cs="Arial"/>
        </w:rPr>
      </w:pPr>
      <w:r>
        <w:rPr>
          <w:rFonts w:cs="Arial"/>
        </w:rPr>
        <w:t xml:space="preserve">As a result of the panel discussion, the techniques were grouped into three categories. </w:t>
      </w:r>
      <w:r w:rsidRPr="00FA0A84">
        <w:rPr>
          <w:rFonts w:cs="Arial"/>
          <w:b/>
        </w:rPr>
        <w:t>Category 1</w:t>
      </w:r>
      <w:r>
        <w:rPr>
          <w:rFonts w:cs="Arial"/>
        </w:rPr>
        <w:t xml:space="preserve"> comprises cisgenesis/intragenesis, targeted gene addition or replacement using ZFN technology, and GM rootstock grafting. It was the view of the panel that foods produced using these techniques should be regarded as GM food and undergo premarket safety assessment.  In the case of cisgenesis/intragenesis and targeted gene addition or replacement using ZFN technology</w:t>
      </w:r>
      <w:r w:rsidDel="00FF5672">
        <w:rPr>
          <w:rFonts w:cs="Arial"/>
        </w:rPr>
        <w:t xml:space="preserve"> </w:t>
      </w:r>
      <w:r>
        <w:rPr>
          <w:rFonts w:cs="Arial"/>
        </w:rPr>
        <w:t xml:space="preserve">the derived food would be similar to that produced using standard transgenic techniques. </w:t>
      </w:r>
      <w:r w:rsidR="00440B6F">
        <w:rPr>
          <w:rFonts w:cs="Arial"/>
        </w:rPr>
        <w:t>Consideration of</w:t>
      </w:r>
      <w:r>
        <w:rPr>
          <w:rFonts w:cs="Arial"/>
        </w:rPr>
        <w:t xml:space="preserve"> GM rootstock grafting was more complicated because f</w:t>
      </w:r>
      <w:r w:rsidRPr="00FB7464">
        <w:rPr>
          <w:rFonts w:cs="Arial"/>
        </w:rPr>
        <w:t xml:space="preserve">ood produced by a non-GM scion grafted onto a GM rootstock </w:t>
      </w:r>
      <w:r>
        <w:rPr>
          <w:rFonts w:cs="Arial"/>
        </w:rPr>
        <w:t>would</w:t>
      </w:r>
      <w:r w:rsidRPr="00FB7464">
        <w:rPr>
          <w:rFonts w:cs="Arial"/>
        </w:rPr>
        <w:t xml:space="preserve"> not contain any </w:t>
      </w:r>
      <w:r>
        <w:rPr>
          <w:rFonts w:cs="Arial"/>
        </w:rPr>
        <w:t>introduced</w:t>
      </w:r>
      <w:r w:rsidRPr="00FB7464">
        <w:rPr>
          <w:rFonts w:cs="Arial"/>
        </w:rPr>
        <w:t xml:space="preserve"> DNA. However, </w:t>
      </w:r>
      <w:r>
        <w:rPr>
          <w:rFonts w:cs="Arial"/>
        </w:rPr>
        <w:t>it may</w:t>
      </w:r>
      <w:r w:rsidRPr="00FB7464">
        <w:rPr>
          <w:rFonts w:cs="Arial"/>
        </w:rPr>
        <w:t xml:space="preserve"> contain </w:t>
      </w:r>
      <w:r>
        <w:rPr>
          <w:rFonts w:cs="Arial"/>
        </w:rPr>
        <w:t>novel</w:t>
      </w:r>
      <w:r w:rsidRPr="00FB7464">
        <w:rPr>
          <w:rFonts w:cs="Arial"/>
        </w:rPr>
        <w:t xml:space="preserve"> RNA</w:t>
      </w:r>
      <w:r>
        <w:rPr>
          <w:rFonts w:cs="Arial"/>
        </w:rPr>
        <w:t xml:space="preserve"> and/or</w:t>
      </w:r>
      <w:r w:rsidRPr="00FB7464">
        <w:rPr>
          <w:rFonts w:cs="Arial"/>
        </w:rPr>
        <w:t xml:space="preserve"> protein</w:t>
      </w:r>
      <w:r>
        <w:rPr>
          <w:rFonts w:cs="Arial"/>
        </w:rPr>
        <w:t xml:space="preserve"> as a result of the genetic modification to the rootstock. Depending on the genetic modification, the food may also have</w:t>
      </w:r>
      <w:r w:rsidRPr="00FB7464">
        <w:rPr>
          <w:rFonts w:cs="Arial"/>
        </w:rPr>
        <w:t xml:space="preserve"> altered </w:t>
      </w:r>
      <w:r>
        <w:rPr>
          <w:rFonts w:cs="Arial"/>
        </w:rPr>
        <w:t xml:space="preserve">composition or other </w:t>
      </w:r>
      <w:r w:rsidRPr="00FB7464">
        <w:rPr>
          <w:rFonts w:cs="Arial"/>
        </w:rPr>
        <w:t>characteristics.</w:t>
      </w:r>
      <w:r>
        <w:rPr>
          <w:rFonts w:cs="Arial"/>
        </w:rPr>
        <w:t xml:space="preserve"> The panel did however note the following:</w:t>
      </w:r>
    </w:p>
    <w:p w:rsidR="00976B10" w:rsidRDefault="00976B10" w:rsidP="00976B10">
      <w:pPr>
        <w:rPr>
          <w:rFonts w:cs="Arial"/>
        </w:rPr>
      </w:pPr>
    </w:p>
    <w:p w:rsidR="00791D10" w:rsidRDefault="00D15850" w:rsidP="00DC6F63">
      <w:pPr>
        <w:pStyle w:val="ListParagraph"/>
        <w:numPr>
          <w:ilvl w:val="0"/>
          <w:numId w:val="21"/>
        </w:numPr>
        <w:rPr>
          <w:rFonts w:cs="Arial"/>
        </w:rPr>
      </w:pPr>
      <w:r>
        <w:rPr>
          <w:rFonts w:cs="Arial"/>
        </w:rPr>
        <w:t>i</w:t>
      </w:r>
      <w:r w:rsidR="00791D10" w:rsidRPr="00FB7464">
        <w:rPr>
          <w:rFonts w:cs="Arial"/>
        </w:rPr>
        <w:t>n the case of cisgenesis and intragenesis</w:t>
      </w:r>
      <w:r w:rsidR="00FC5958">
        <w:rPr>
          <w:rFonts w:cs="Arial"/>
        </w:rPr>
        <w:t>,</w:t>
      </w:r>
      <w:r w:rsidR="00791D10" w:rsidRPr="00FB7464">
        <w:rPr>
          <w:rFonts w:cs="Arial"/>
        </w:rPr>
        <w:t xml:space="preserve"> a simplified form of food safety assessment may be warranted because the transferred genes will be derived from </w:t>
      </w:r>
      <w:r w:rsidR="00A505AD">
        <w:rPr>
          <w:rFonts w:cs="Arial"/>
        </w:rPr>
        <w:t xml:space="preserve">the same or a closely related species </w:t>
      </w:r>
      <w:r w:rsidR="00791D10" w:rsidRPr="00FB7464">
        <w:rPr>
          <w:rFonts w:cs="Arial"/>
        </w:rPr>
        <w:t xml:space="preserve">which </w:t>
      </w:r>
      <w:r w:rsidR="008E03C9">
        <w:rPr>
          <w:rFonts w:cs="Arial"/>
        </w:rPr>
        <w:t>is</w:t>
      </w:r>
      <w:r w:rsidR="008E03C9" w:rsidRPr="00FB7464">
        <w:rPr>
          <w:rFonts w:cs="Arial"/>
        </w:rPr>
        <w:t xml:space="preserve"> </w:t>
      </w:r>
      <w:r w:rsidR="00791D10" w:rsidRPr="00FB7464">
        <w:rPr>
          <w:rFonts w:cs="Arial"/>
        </w:rPr>
        <w:t xml:space="preserve">likely to be commonly used as food </w:t>
      </w:r>
      <w:r w:rsidR="00791D10">
        <w:rPr>
          <w:rFonts w:cs="Arial"/>
        </w:rPr>
        <w:t xml:space="preserve">and have a history of </w:t>
      </w:r>
      <w:r w:rsidR="00440B6F">
        <w:rPr>
          <w:rFonts w:cs="Arial"/>
        </w:rPr>
        <w:t xml:space="preserve">safe </w:t>
      </w:r>
      <w:r w:rsidR="00791D10">
        <w:rPr>
          <w:rFonts w:cs="Arial"/>
        </w:rPr>
        <w:t>use;</w:t>
      </w:r>
    </w:p>
    <w:p w:rsidR="00791D10" w:rsidRDefault="00791D10" w:rsidP="00791D10">
      <w:pPr>
        <w:pStyle w:val="ListParagraph"/>
        <w:rPr>
          <w:rFonts w:cs="Arial"/>
        </w:rPr>
      </w:pPr>
    </w:p>
    <w:p w:rsidR="00791D10" w:rsidRPr="00FB7464" w:rsidRDefault="00D15850" w:rsidP="00DC6F63">
      <w:pPr>
        <w:pStyle w:val="ListParagraph"/>
        <w:numPr>
          <w:ilvl w:val="0"/>
          <w:numId w:val="21"/>
        </w:numPr>
        <w:rPr>
          <w:rFonts w:cs="Arial"/>
        </w:rPr>
      </w:pPr>
      <w:r>
        <w:rPr>
          <w:rFonts w:cs="Arial"/>
        </w:rPr>
        <w:t>in the case of GM rootstock grafting, t</w:t>
      </w:r>
      <w:r w:rsidR="00440B6F">
        <w:rPr>
          <w:rFonts w:cs="Arial"/>
        </w:rPr>
        <w:t xml:space="preserve">he majority of foods will not contain any novel genetic material or have altered characteristics and therefore should only </w:t>
      </w:r>
      <w:r>
        <w:rPr>
          <w:rFonts w:cs="Arial"/>
        </w:rPr>
        <w:t>require</w:t>
      </w:r>
      <w:r w:rsidR="00440B6F">
        <w:rPr>
          <w:rFonts w:cs="Arial"/>
        </w:rPr>
        <w:t xml:space="preserve"> a simplified food safety assessment</w:t>
      </w:r>
      <w:r w:rsidR="00791D10">
        <w:rPr>
          <w:rFonts w:cs="Arial"/>
        </w:rPr>
        <w:t>.</w:t>
      </w:r>
    </w:p>
    <w:p w:rsidR="00791D10" w:rsidRDefault="00791D10" w:rsidP="00791D10">
      <w:pPr>
        <w:rPr>
          <w:rFonts w:cs="Arial"/>
        </w:rPr>
      </w:pPr>
    </w:p>
    <w:p w:rsidR="00791D10" w:rsidRDefault="00FA0A84" w:rsidP="00791D10">
      <w:pPr>
        <w:rPr>
          <w:rFonts w:cs="Arial"/>
        </w:rPr>
      </w:pPr>
      <w:r w:rsidRPr="00FA0A84">
        <w:rPr>
          <w:rFonts w:cs="Arial"/>
          <w:b/>
        </w:rPr>
        <w:t>C</w:t>
      </w:r>
      <w:r w:rsidR="00791D10" w:rsidRPr="00FA0A84">
        <w:rPr>
          <w:rFonts w:cs="Arial"/>
          <w:b/>
        </w:rPr>
        <w:t>ategory</w:t>
      </w:r>
      <w:r w:rsidRPr="00FA0A84">
        <w:rPr>
          <w:rFonts w:cs="Arial"/>
          <w:b/>
        </w:rPr>
        <w:t xml:space="preserve"> 2</w:t>
      </w:r>
      <w:r w:rsidR="00791D10">
        <w:rPr>
          <w:rFonts w:cs="Arial"/>
        </w:rPr>
        <w:t xml:space="preserve"> </w:t>
      </w:r>
      <w:r w:rsidR="003F1E23">
        <w:rPr>
          <w:rFonts w:cs="Arial"/>
        </w:rPr>
        <w:t>comprise</w:t>
      </w:r>
      <w:r w:rsidR="00D661A1">
        <w:rPr>
          <w:rFonts w:cs="Arial"/>
        </w:rPr>
        <w:t>s</w:t>
      </w:r>
      <w:r w:rsidR="003F1E23">
        <w:rPr>
          <w:rFonts w:cs="Arial"/>
        </w:rPr>
        <w:t xml:space="preserve"> </w:t>
      </w:r>
      <w:r w:rsidR="00791D10">
        <w:rPr>
          <w:rFonts w:cs="Arial"/>
        </w:rPr>
        <w:t>techniques used for targeted mutagenesis</w:t>
      </w:r>
      <w:r w:rsidR="003F1E23">
        <w:rPr>
          <w:rFonts w:cs="Arial"/>
        </w:rPr>
        <w:t xml:space="preserve">, </w:t>
      </w:r>
      <w:r w:rsidR="00791D10">
        <w:rPr>
          <w:rFonts w:cs="Arial"/>
        </w:rPr>
        <w:t>includ</w:t>
      </w:r>
      <w:r w:rsidR="003F1E23">
        <w:rPr>
          <w:rFonts w:cs="Arial"/>
        </w:rPr>
        <w:t>ing</w:t>
      </w:r>
      <w:r w:rsidR="00791D10">
        <w:rPr>
          <w:rFonts w:cs="Arial"/>
        </w:rPr>
        <w:t xml:space="preserve"> ODM and ZFN</w:t>
      </w:r>
      <w:r w:rsidR="00ED4325">
        <w:rPr>
          <w:rFonts w:cs="Arial"/>
        </w:rPr>
        <w:t xml:space="preserve"> technology</w:t>
      </w:r>
      <w:r w:rsidR="00791D10">
        <w:rPr>
          <w:rFonts w:cs="Arial"/>
        </w:rPr>
        <w:t xml:space="preserve">. </w:t>
      </w:r>
      <w:r>
        <w:rPr>
          <w:rFonts w:cs="Arial"/>
        </w:rPr>
        <w:t>It was the view of the panel</w:t>
      </w:r>
      <w:r w:rsidR="003F1E23">
        <w:rPr>
          <w:rFonts w:cs="Arial"/>
        </w:rPr>
        <w:t xml:space="preserve"> that changes introduced using </w:t>
      </w:r>
      <w:r>
        <w:rPr>
          <w:rFonts w:cs="Arial"/>
        </w:rPr>
        <w:t>such techniques</w:t>
      </w:r>
      <w:r w:rsidR="003F1E23">
        <w:rPr>
          <w:rFonts w:cs="Arial"/>
        </w:rPr>
        <w:t xml:space="preserve"> </w:t>
      </w:r>
      <w:r w:rsidR="00F20E40">
        <w:rPr>
          <w:rFonts w:cs="Arial"/>
        </w:rPr>
        <w:t>would be</w:t>
      </w:r>
      <w:r w:rsidR="003F1E23">
        <w:rPr>
          <w:rFonts w:cs="Arial"/>
        </w:rPr>
        <w:t xml:space="preserve"> </w:t>
      </w:r>
      <w:r>
        <w:rPr>
          <w:rFonts w:cs="Arial"/>
        </w:rPr>
        <w:t xml:space="preserve">typically </w:t>
      </w:r>
      <w:r w:rsidR="00385CBB">
        <w:rPr>
          <w:rFonts w:cs="Arial"/>
        </w:rPr>
        <w:t>small</w:t>
      </w:r>
      <w:r w:rsidR="00616347">
        <w:rPr>
          <w:rFonts w:cs="Arial"/>
        </w:rPr>
        <w:t xml:space="preserve"> and</w:t>
      </w:r>
      <w:r w:rsidR="00557EB2">
        <w:rPr>
          <w:rFonts w:cs="Arial"/>
        </w:rPr>
        <w:t xml:space="preserve"> </w:t>
      </w:r>
      <w:r w:rsidR="00241535">
        <w:rPr>
          <w:rFonts w:cs="Arial"/>
        </w:rPr>
        <w:t>definable</w:t>
      </w:r>
      <w:r w:rsidR="00557EB2">
        <w:rPr>
          <w:rFonts w:cs="Arial"/>
        </w:rPr>
        <w:t xml:space="preserve"> </w:t>
      </w:r>
      <w:r w:rsidR="003F1E23">
        <w:rPr>
          <w:rFonts w:cs="Arial"/>
        </w:rPr>
        <w:t xml:space="preserve">and </w:t>
      </w:r>
      <w:r w:rsidR="00616347">
        <w:rPr>
          <w:rFonts w:cs="Arial"/>
        </w:rPr>
        <w:t>have predictable</w:t>
      </w:r>
      <w:r w:rsidR="003F1E23">
        <w:rPr>
          <w:rFonts w:cs="Arial"/>
        </w:rPr>
        <w:t xml:space="preserve"> outcomes</w:t>
      </w:r>
      <w:r w:rsidR="00241535">
        <w:rPr>
          <w:rFonts w:cs="Arial"/>
        </w:rPr>
        <w:t>.</w:t>
      </w:r>
      <w:r w:rsidR="003F1E23">
        <w:rPr>
          <w:rFonts w:cs="Arial"/>
        </w:rPr>
        <w:t xml:space="preserve"> </w:t>
      </w:r>
      <w:r w:rsidR="00616347">
        <w:rPr>
          <w:rFonts w:cs="Arial"/>
        </w:rPr>
        <w:t>Such techniques would therefore be similar to traditional mutagenic techniques used in conventional plant breeding and food derived from these plants should not be regarded as GM food</w:t>
      </w:r>
      <w:r w:rsidR="00791D10">
        <w:rPr>
          <w:rFonts w:cs="Arial"/>
        </w:rPr>
        <w:t>.</w:t>
      </w:r>
    </w:p>
    <w:p w:rsidR="00791D10" w:rsidRDefault="00791D10" w:rsidP="00791D10">
      <w:pPr>
        <w:rPr>
          <w:rFonts w:cs="Arial"/>
        </w:rPr>
      </w:pPr>
    </w:p>
    <w:p w:rsidR="004D3E64" w:rsidRDefault="00FA0A84" w:rsidP="00791D10">
      <w:pPr>
        <w:rPr>
          <w:rFonts w:cs="Arial"/>
        </w:rPr>
      </w:pPr>
      <w:r w:rsidRPr="00B36F6E">
        <w:rPr>
          <w:rFonts w:cs="Arial"/>
          <w:b/>
        </w:rPr>
        <w:t>C</w:t>
      </w:r>
      <w:r w:rsidR="00791D10" w:rsidRPr="00B36F6E">
        <w:rPr>
          <w:rFonts w:cs="Arial"/>
          <w:b/>
        </w:rPr>
        <w:t xml:space="preserve">ategory </w:t>
      </w:r>
      <w:r w:rsidRPr="00B36F6E">
        <w:rPr>
          <w:rFonts w:cs="Arial"/>
          <w:b/>
        </w:rPr>
        <w:t>3</w:t>
      </w:r>
      <w:r>
        <w:rPr>
          <w:rFonts w:cs="Arial"/>
        </w:rPr>
        <w:t xml:space="preserve"> </w:t>
      </w:r>
      <w:r w:rsidR="00F50AAE">
        <w:rPr>
          <w:rFonts w:cs="Arial"/>
        </w:rPr>
        <w:t>comprise</w:t>
      </w:r>
      <w:r w:rsidR="00D661A1">
        <w:rPr>
          <w:rFonts w:cs="Arial"/>
        </w:rPr>
        <w:t>s</w:t>
      </w:r>
      <w:r w:rsidR="00F50AAE">
        <w:rPr>
          <w:rFonts w:cs="Arial"/>
        </w:rPr>
        <w:t xml:space="preserve"> </w:t>
      </w:r>
      <w:r w:rsidR="00791D10">
        <w:rPr>
          <w:rFonts w:cs="Arial"/>
        </w:rPr>
        <w:t xml:space="preserve">techniques which involve the use of </w:t>
      </w:r>
      <w:r>
        <w:rPr>
          <w:rFonts w:cs="Arial"/>
        </w:rPr>
        <w:t>gene technology</w:t>
      </w:r>
      <w:r w:rsidR="00791D10">
        <w:rPr>
          <w:rFonts w:cs="Arial"/>
        </w:rPr>
        <w:t xml:space="preserve"> at an early stage </w:t>
      </w:r>
      <w:r w:rsidR="00F20E40">
        <w:rPr>
          <w:rFonts w:cs="Arial"/>
        </w:rPr>
        <w:t xml:space="preserve">that is </w:t>
      </w:r>
      <w:r w:rsidR="00A5043B">
        <w:rPr>
          <w:rFonts w:cs="Arial"/>
        </w:rPr>
        <w:t>separate</w:t>
      </w:r>
      <w:r w:rsidR="00F20E40">
        <w:rPr>
          <w:rFonts w:cs="Arial"/>
        </w:rPr>
        <w:t xml:space="preserve"> from the final plant</w:t>
      </w:r>
      <w:r w:rsidR="00791D10">
        <w:rPr>
          <w:rFonts w:cs="Arial"/>
        </w:rPr>
        <w:t xml:space="preserve"> breeding process</w:t>
      </w:r>
      <w:r w:rsidR="00775CF0">
        <w:rPr>
          <w:rFonts w:cs="Arial"/>
        </w:rPr>
        <w:t>.</w:t>
      </w:r>
      <w:r w:rsidR="00791D10">
        <w:rPr>
          <w:rFonts w:cs="Arial"/>
        </w:rPr>
        <w:t xml:space="preserve"> The techniques in this category include SPT and reverse breeding. Although not specifically discussed, the panel noted that accelerated breeding following induction of early flowering using </w:t>
      </w:r>
      <w:r w:rsidR="00B36F6E">
        <w:rPr>
          <w:rFonts w:cs="Arial"/>
        </w:rPr>
        <w:t>gene technology</w:t>
      </w:r>
      <w:r w:rsidR="00791D10">
        <w:rPr>
          <w:rFonts w:cs="Arial"/>
        </w:rPr>
        <w:t xml:space="preserve"> could also be included in </w:t>
      </w:r>
      <w:r w:rsidR="00F50AAE">
        <w:rPr>
          <w:rFonts w:cs="Arial"/>
        </w:rPr>
        <w:t>this</w:t>
      </w:r>
      <w:r w:rsidR="00791D10">
        <w:rPr>
          <w:rFonts w:cs="Arial"/>
        </w:rPr>
        <w:t xml:space="preserve"> category. In the case of SPT the panel </w:t>
      </w:r>
      <w:r w:rsidR="00B36F6E">
        <w:rPr>
          <w:rFonts w:cs="Arial"/>
        </w:rPr>
        <w:t xml:space="preserve">was of the view </w:t>
      </w:r>
      <w:r w:rsidR="00775CF0">
        <w:rPr>
          <w:rFonts w:cs="Arial"/>
        </w:rPr>
        <w:t>t</w:t>
      </w:r>
      <w:r w:rsidR="00791D10">
        <w:rPr>
          <w:rFonts w:cs="Arial"/>
        </w:rPr>
        <w:t xml:space="preserve">hat food produced using this technique should not be regarded as GM food as a genetic separation exists between the early GM ancestor </w:t>
      </w:r>
      <w:r w:rsidR="00F20E40">
        <w:rPr>
          <w:rFonts w:cs="Arial"/>
        </w:rPr>
        <w:t xml:space="preserve">(known as the GM maintainer line) </w:t>
      </w:r>
      <w:r w:rsidR="00791D10">
        <w:rPr>
          <w:rFonts w:cs="Arial"/>
        </w:rPr>
        <w:t xml:space="preserve">and the </w:t>
      </w:r>
      <w:r w:rsidR="00F20E40">
        <w:rPr>
          <w:rFonts w:cs="Arial"/>
        </w:rPr>
        <w:t xml:space="preserve">non-GM </w:t>
      </w:r>
      <w:r w:rsidR="00BB553C">
        <w:rPr>
          <w:rFonts w:cs="Arial"/>
        </w:rPr>
        <w:t xml:space="preserve">parents of the </w:t>
      </w:r>
      <w:r w:rsidR="00791D10">
        <w:rPr>
          <w:rFonts w:cs="Arial"/>
        </w:rPr>
        <w:t xml:space="preserve">final </w:t>
      </w:r>
      <w:r w:rsidR="00B36F6E">
        <w:rPr>
          <w:rFonts w:cs="Arial"/>
        </w:rPr>
        <w:t>f</w:t>
      </w:r>
      <w:r w:rsidR="00791D10">
        <w:rPr>
          <w:rFonts w:cs="Arial"/>
        </w:rPr>
        <w:t>ood</w:t>
      </w:r>
      <w:r w:rsidR="00D84A71">
        <w:rPr>
          <w:rFonts w:cs="Arial"/>
        </w:rPr>
        <w:t>-</w:t>
      </w:r>
      <w:r w:rsidR="00791D10">
        <w:rPr>
          <w:rFonts w:cs="Arial"/>
        </w:rPr>
        <w:t>producing line</w:t>
      </w:r>
      <w:r w:rsidR="00775CF0">
        <w:rPr>
          <w:rFonts w:cs="Arial"/>
        </w:rPr>
        <w:t>,</w:t>
      </w:r>
      <w:r w:rsidR="00B36F6E">
        <w:rPr>
          <w:rFonts w:cs="Arial"/>
        </w:rPr>
        <w:t xml:space="preserve"> which does not contain the genetic modification</w:t>
      </w:r>
      <w:r w:rsidR="00791D10">
        <w:rPr>
          <w:rFonts w:cs="Arial"/>
        </w:rPr>
        <w:t xml:space="preserve">. The panel </w:t>
      </w:r>
      <w:r w:rsidR="00D84A71">
        <w:rPr>
          <w:rFonts w:cs="Arial"/>
        </w:rPr>
        <w:t xml:space="preserve">considered </w:t>
      </w:r>
      <w:r w:rsidR="00791D10">
        <w:rPr>
          <w:rFonts w:cs="Arial"/>
        </w:rPr>
        <w:t xml:space="preserve">however that it would be useful to have more information confirming the reliability of the sorting technique for indicating the presence or absence of the </w:t>
      </w:r>
      <w:r w:rsidR="00B36F6E">
        <w:rPr>
          <w:rFonts w:cs="Arial"/>
        </w:rPr>
        <w:t xml:space="preserve">introduced genes </w:t>
      </w:r>
      <w:r w:rsidR="00791D10">
        <w:rPr>
          <w:rFonts w:cs="Arial"/>
        </w:rPr>
        <w:t>as well as g</w:t>
      </w:r>
      <w:r w:rsidR="00791D10">
        <w:t>eneral compositional analysis confirming the equivalence of an F</w:t>
      </w:r>
      <w:r w:rsidR="002123C0">
        <w:t>1</w:t>
      </w:r>
      <w:r w:rsidR="00791D10">
        <w:t xml:space="preserve"> </w:t>
      </w:r>
      <w:r w:rsidR="00F20E40">
        <w:t xml:space="preserve">hybrid </w:t>
      </w:r>
      <w:r w:rsidR="00791D10">
        <w:t xml:space="preserve">produced via SPT with a </w:t>
      </w:r>
      <w:r w:rsidR="002123C0">
        <w:t>standard</w:t>
      </w:r>
      <w:r w:rsidR="00791D10">
        <w:t xml:space="preserve"> F</w:t>
      </w:r>
      <w:r w:rsidR="002123C0">
        <w:t>1</w:t>
      </w:r>
      <w:r w:rsidR="00F20E40">
        <w:t xml:space="preserve"> hybrid</w:t>
      </w:r>
      <w:r w:rsidR="004D3E64">
        <w:rPr>
          <w:rFonts w:cs="Arial"/>
        </w:rPr>
        <w:t>.</w:t>
      </w:r>
    </w:p>
    <w:p w:rsidR="00B0624F" w:rsidRDefault="00B0624F" w:rsidP="00791D10">
      <w:pPr>
        <w:rPr>
          <w:rFonts w:cs="Arial"/>
        </w:rPr>
      </w:pPr>
    </w:p>
    <w:p w:rsidR="00791D10" w:rsidRDefault="00791D10" w:rsidP="00791D10">
      <w:pPr>
        <w:rPr>
          <w:lang w:val="en-US"/>
        </w:rPr>
      </w:pPr>
      <w:r>
        <w:rPr>
          <w:rFonts w:cs="Arial"/>
        </w:rPr>
        <w:t xml:space="preserve">While there are clear parallels </w:t>
      </w:r>
      <w:r w:rsidR="00FC5958">
        <w:rPr>
          <w:rFonts w:cs="Arial"/>
        </w:rPr>
        <w:t>with</w:t>
      </w:r>
      <w:r>
        <w:rPr>
          <w:rFonts w:cs="Arial"/>
        </w:rPr>
        <w:t xml:space="preserve"> SPT, the panel </w:t>
      </w:r>
      <w:r w:rsidR="00D84A71">
        <w:rPr>
          <w:rFonts w:cs="Arial"/>
        </w:rPr>
        <w:t xml:space="preserve">did not consider </w:t>
      </w:r>
      <w:r>
        <w:rPr>
          <w:rFonts w:cs="Arial"/>
        </w:rPr>
        <w:t xml:space="preserve">they could reach firm conclusions </w:t>
      </w:r>
      <w:r w:rsidR="00FC5958">
        <w:rPr>
          <w:rFonts w:cs="Arial"/>
        </w:rPr>
        <w:t>a</w:t>
      </w:r>
      <w:r w:rsidR="00130CFB">
        <w:rPr>
          <w:rFonts w:cs="Arial"/>
        </w:rPr>
        <w:t>bout</w:t>
      </w:r>
      <w:r w:rsidR="00FC5958">
        <w:rPr>
          <w:rFonts w:cs="Arial"/>
        </w:rPr>
        <w:t xml:space="preserve"> reverse breeding </w:t>
      </w:r>
      <w:r>
        <w:rPr>
          <w:rFonts w:cs="Arial"/>
        </w:rPr>
        <w:t>because insufficient</w:t>
      </w:r>
      <w:r w:rsidRPr="000F3140">
        <w:rPr>
          <w:rFonts w:cs="Arial"/>
        </w:rPr>
        <w:t xml:space="preserve"> </w:t>
      </w:r>
      <w:r>
        <w:rPr>
          <w:rFonts w:cs="Arial"/>
        </w:rPr>
        <w:t xml:space="preserve">technical detail was available on how transgene-free end products are produced, as well as the reliability of the process overall.  They noted however that </w:t>
      </w:r>
      <w:r>
        <w:rPr>
          <w:lang w:val="en-US"/>
        </w:rPr>
        <w:t>there did not appear to be any particular hazards associated with the GM component of the technique</w:t>
      </w:r>
      <w:r>
        <w:rPr>
          <w:rFonts w:cs="Arial"/>
        </w:rPr>
        <w:t xml:space="preserve">. The panel also </w:t>
      </w:r>
      <w:r w:rsidR="002123C0">
        <w:rPr>
          <w:rFonts w:cs="Arial"/>
        </w:rPr>
        <w:t>considered</w:t>
      </w:r>
      <w:r>
        <w:rPr>
          <w:rFonts w:cs="Arial"/>
        </w:rPr>
        <w:t xml:space="preserve"> it would be helpful to develop some criteria for distinguishing techniques such as SPT, accelerated breeding and reverse bre</w:t>
      </w:r>
      <w:r w:rsidR="00D661A1">
        <w:rPr>
          <w:rFonts w:cs="Arial"/>
        </w:rPr>
        <w:t xml:space="preserve">eding from those where the </w:t>
      </w:r>
      <w:r w:rsidR="00B36F6E">
        <w:rPr>
          <w:rFonts w:cs="Arial"/>
        </w:rPr>
        <w:t xml:space="preserve">final </w:t>
      </w:r>
      <w:r w:rsidR="00D661A1">
        <w:rPr>
          <w:rFonts w:cs="Arial"/>
        </w:rPr>
        <w:t>food-</w:t>
      </w:r>
      <w:r>
        <w:rPr>
          <w:rFonts w:cs="Arial"/>
        </w:rPr>
        <w:t>produc</w:t>
      </w:r>
      <w:r w:rsidR="00D661A1">
        <w:rPr>
          <w:rFonts w:cs="Arial"/>
        </w:rPr>
        <w:t>ing</w:t>
      </w:r>
      <w:r>
        <w:rPr>
          <w:rFonts w:cs="Arial"/>
        </w:rPr>
        <w:t xml:space="preserve"> lines are </w:t>
      </w:r>
      <w:r w:rsidR="00B36F6E">
        <w:rPr>
          <w:rFonts w:cs="Arial"/>
        </w:rPr>
        <w:t xml:space="preserve">clearly GM </w:t>
      </w:r>
      <w:r>
        <w:rPr>
          <w:rFonts w:cs="Arial"/>
        </w:rPr>
        <w:t xml:space="preserve">and also for ensuring </w:t>
      </w:r>
      <w:r w:rsidR="00983676">
        <w:rPr>
          <w:lang w:val="en-US"/>
        </w:rPr>
        <w:t xml:space="preserve">that </w:t>
      </w:r>
      <w:r>
        <w:rPr>
          <w:lang w:val="en-US"/>
        </w:rPr>
        <w:t xml:space="preserve">a complete barrier/genetic separation </w:t>
      </w:r>
      <w:r w:rsidR="00983676">
        <w:rPr>
          <w:lang w:val="en-US"/>
        </w:rPr>
        <w:t xml:space="preserve">exists </w:t>
      </w:r>
      <w:r>
        <w:rPr>
          <w:lang w:val="en-US"/>
        </w:rPr>
        <w:t xml:space="preserve">between the early </w:t>
      </w:r>
      <w:r w:rsidR="00B36F6E">
        <w:rPr>
          <w:lang w:val="en-US"/>
        </w:rPr>
        <w:t xml:space="preserve">GM </w:t>
      </w:r>
      <w:r>
        <w:rPr>
          <w:lang w:val="en-US"/>
        </w:rPr>
        <w:t>breeding li</w:t>
      </w:r>
      <w:r w:rsidR="00D661A1">
        <w:rPr>
          <w:lang w:val="en-US"/>
        </w:rPr>
        <w:t>nes and the non-</w:t>
      </w:r>
      <w:r w:rsidR="00B36F6E">
        <w:rPr>
          <w:lang w:val="en-US"/>
        </w:rPr>
        <w:t xml:space="preserve">GM </w:t>
      </w:r>
      <w:r w:rsidR="00D661A1">
        <w:rPr>
          <w:lang w:val="en-US"/>
        </w:rPr>
        <w:t>food-</w:t>
      </w:r>
      <w:r>
        <w:rPr>
          <w:lang w:val="en-US"/>
        </w:rPr>
        <w:t>produc</w:t>
      </w:r>
      <w:r w:rsidR="00D661A1">
        <w:rPr>
          <w:lang w:val="en-US"/>
        </w:rPr>
        <w:t>i</w:t>
      </w:r>
      <w:r>
        <w:rPr>
          <w:lang w:val="en-US"/>
        </w:rPr>
        <w:t>n</w:t>
      </w:r>
      <w:r w:rsidR="00D661A1">
        <w:rPr>
          <w:lang w:val="en-US"/>
        </w:rPr>
        <w:t>g</w:t>
      </w:r>
      <w:r>
        <w:rPr>
          <w:lang w:val="en-US"/>
        </w:rPr>
        <w:t xml:space="preserve"> lines.</w:t>
      </w:r>
    </w:p>
    <w:p w:rsidR="00791D10" w:rsidRDefault="00791D10" w:rsidP="00791D10">
      <w:pPr>
        <w:rPr>
          <w:lang w:val="en-US"/>
        </w:rPr>
      </w:pPr>
    </w:p>
    <w:p w:rsidR="00791D10" w:rsidRDefault="00791D10" w:rsidP="00791D10">
      <w:pPr>
        <w:rPr>
          <w:szCs w:val="28"/>
        </w:rPr>
      </w:pPr>
    </w:p>
    <w:p w:rsidR="00224BFC" w:rsidRDefault="00224BFC" w:rsidP="00791D10">
      <w:pPr>
        <w:rPr>
          <w:szCs w:val="28"/>
        </w:rPr>
      </w:pPr>
    </w:p>
    <w:p w:rsidR="00740668" w:rsidRPr="00E12635" w:rsidRDefault="00740668" w:rsidP="00740668">
      <w:pPr>
        <w:rPr>
          <w:b/>
        </w:rPr>
      </w:pPr>
      <w:r w:rsidRPr="00E12635">
        <w:rPr>
          <w:b/>
        </w:rPr>
        <w:t>Acknowledgement</w:t>
      </w:r>
    </w:p>
    <w:p w:rsidR="00F20E40" w:rsidRDefault="00F20E40" w:rsidP="00F20E40">
      <w:pPr>
        <w:rPr>
          <w:szCs w:val="28"/>
        </w:rPr>
      </w:pPr>
      <w:r>
        <w:t xml:space="preserve">FSANZ greatly appreciates the enthusiastic approach of the expert panel </w:t>
      </w:r>
      <w:r w:rsidR="00983676">
        <w:t xml:space="preserve">to this task </w:t>
      </w:r>
      <w:r>
        <w:t>and their contribution of knowledge and expertise to this work.</w:t>
      </w:r>
    </w:p>
    <w:p w:rsidR="0015338C" w:rsidRDefault="0015338C">
      <w:pPr>
        <w:spacing w:after="200" w:line="276" w:lineRule="auto"/>
        <w:rPr>
          <w:szCs w:val="28"/>
        </w:rPr>
      </w:pPr>
    </w:p>
    <w:p w:rsidR="0015338C" w:rsidRPr="0015338C" w:rsidRDefault="0015338C" w:rsidP="0015338C">
      <w:pPr>
        <w:rPr>
          <w:rStyle w:val="apple-style-span"/>
          <w:rFonts w:cs="Arial"/>
          <w:shd w:val="clear" w:color="auto" w:fill="FFFFFF"/>
        </w:rPr>
      </w:pPr>
    </w:p>
    <w:p w:rsidR="00224BFC" w:rsidRPr="0015338C" w:rsidRDefault="00224BFC">
      <w:pPr>
        <w:spacing w:after="200" w:line="276" w:lineRule="auto"/>
        <w:rPr>
          <w:rFonts w:cs="Arial"/>
        </w:rPr>
      </w:pPr>
      <w:r w:rsidRPr="0015338C">
        <w:rPr>
          <w:rFonts w:cs="Arial"/>
        </w:rPr>
        <w:br w:type="page"/>
      </w:r>
    </w:p>
    <w:sdt>
      <w:sdtPr>
        <w:rPr>
          <w:rFonts w:ascii="Arial" w:eastAsiaTheme="minorHAnsi" w:hAnsi="Arial" w:cstheme="minorBidi"/>
          <w:b w:val="0"/>
          <w:bCs w:val="0"/>
          <w:sz w:val="22"/>
          <w:szCs w:val="22"/>
        </w:rPr>
        <w:id w:val="-1109037699"/>
        <w:docPartObj>
          <w:docPartGallery w:val="Table of Contents"/>
          <w:docPartUnique/>
        </w:docPartObj>
      </w:sdtPr>
      <w:sdtEndPr>
        <w:rPr>
          <w:noProof/>
        </w:rPr>
      </w:sdtEndPr>
      <w:sdtContent>
        <w:p w:rsidR="009D1A82" w:rsidRDefault="009D1A82">
          <w:pPr>
            <w:pStyle w:val="TOCHeading"/>
          </w:pPr>
          <w:r>
            <w:t>Contents</w:t>
          </w:r>
        </w:p>
        <w:p w:rsidR="009D2BF6" w:rsidRDefault="009D1A82">
          <w:pPr>
            <w:pStyle w:val="TOC2"/>
            <w:tabs>
              <w:tab w:val="right" w:leader="dot" w:pos="9016"/>
            </w:tabs>
            <w:rPr>
              <w:noProof/>
              <w:lang w:val="en-GB" w:eastAsia="en-GB"/>
            </w:rPr>
          </w:pPr>
          <w:r>
            <w:fldChar w:fldCharType="begin"/>
          </w:r>
          <w:r>
            <w:instrText xml:space="preserve"> TOC \o "1-3" \h \z \u </w:instrText>
          </w:r>
          <w:r>
            <w:fldChar w:fldCharType="separate"/>
          </w:r>
          <w:hyperlink w:anchor="_Toc350235763" w:history="1">
            <w:r w:rsidR="009D2BF6" w:rsidRPr="00860F7C">
              <w:rPr>
                <w:rStyle w:val="Hyperlink"/>
                <w:noProof/>
              </w:rPr>
              <w:t>EXECUTIVE SUMMARY</w:t>
            </w:r>
            <w:r w:rsidR="009D2BF6">
              <w:rPr>
                <w:noProof/>
                <w:webHidden/>
              </w:rPr>
              <w:tab/>
            </w:r>
            <w:r w:rsidR="009D2BF6">
              <w:rPr>
                <w:noProof/>
                <w:webHidden/>
              </w:rPr>
              <w:fldChar w:fldCharType="begin"/>
            </w:r>
            <w:r w:rsidR="009D2BF6">
              <w:rPr>
                <w:noProof/>
                <w:webHidden/>
              </w:rPr>
              <w:instrText xml:space="preserve"> PAGEREF _Toc350235763 \h </w:instrText>
            </w:r>
            <w:r w:rsidR="009D2BF6">
              <w:rPr>
                <w:noProof/>
                <w:webHidden/>
              </w:rPr>
            </w:r>
            <w:r w:rsidR="009D2BF6">
              <w:rPr>
                <w:noProof/>
                <w:webHidden/>
              </w:rPr>
              <w:fldChar w:fldCharType="separate"/>
            </w:r>
            <w:r w:rsidR="00794A4A">
              <w:rPr>
                <w:noProof/>
                <w:webHidden/>
              </w:rPr>
              <w:t>3</w:t>
            </w:r>
            <w:r w:rsidR="009D2BF6">
              <w:rPr>
                <w:noProof/>
                <w:webHidden/>
              </w:rPr>
              <w:fldChar w:fldCharType="end"/>
            </w:r>
          </w:hyperlink>
        </w:p>
        <w:p w:rsidR="009D2BF6" w:rsidRDefault="00C86A04">
          <w:pPr>
            <w:pStyle w:val="TOC2"/>
            <w:tabs>
              <w:tab w:val="right" w:leader="dot" w:pos="9016"/>
            </w:tabs>
            <w:rPr>
              <w:noProof/>
              <w:lang w:val="en-GB" w:eastAsia="en-GB"/>
            </w:rPr>
          </w:pPr>
          <w:hyperlink w:anchor="_Toc350235764" w:history="1">
            <w:r w:rsidR="009D2BF6" w:rsidRPr="00860F7C">
              <w:rPr>
                <w:rStyle w:val="Hyperlink"/>
                <w:noProof/>
              </w:rPr>
              <w:t>BACKGROUND</w:t>
            </w:r>
            <w:r w:rsidR="009D2BF6">
              <w:rPr>
                <w:noProof/>
                <w:webHidden/>
              </w:rPr>
              <w:tab/>
            </w:r>
            <w:r w:rsidR="009D2BF6">
              <w:rPr>
                <w:noProof/>
                <w:webHidden/>
              </w:rPr>
              <w:fldChar w:fldCharType="begin"/>
            </w:r>
            <w:r w:rsidR="009D2BF6">
              <w:rPr>
                <w:noProof/>
                <w:webHidden/>
              </w:rPr>
              <w:instrText xml:space="preserve"> PAGEREF _Toc350235764 \h </w:instrText>
            </w:r>
            <w:r w:rsidR="009D2BF6">
              <w:rPr>
                <w:noProof/>
                <w:webHidden/>
              </w:rPr>
            </w:r>
            <w:r w:rsidR="009D2BF6">
              <w:rPr>
                <w:noProof/>
                <w:webHidden/>
              </w:rPr>
              <w:fldChar w:fldCharType="separate"/>
            </w:r>
            <w:r w:rsidR="00794A4A">
              <w:rPr>
                <w:noProof/>
                <w:webHidden/>
              </w:rPr>
              <w:t>6</w:t>
            </w:r>
            <w:r w:rsidR="009D2BF6">
              <w:rPr>
                <w:noProof/>
                <w:webHidden/>
              </w:rPr>
              <w:fldChar w:fldCharType="end"/>
            </w:r>
          </w:hyperlink>
        </w:p>
        <w:p w:rsidR="009D2BF6" w:rsidRDefault="00C86A04">
          <w:pPr>
            <w:pStyle w:val="TOC2"/>
            <w:tabs>
              <w:tab w:val="right" w:leader="dot" w:pos="9016"/>
            </w:tabs>
            <w:rPr>
              <w:noProof/>
              <w:lang w:val="en-GB" w:eastAsia="en-GB"/>
            </w:rPr>
          </w:pPr>
          <w:hyperlink w:anchor="_Toc350235765" w:history="1">
            <w:r w:rsidR="009D2BF6" w:rsidRPr="00860F7C">
              <w:rPr>
                <w:rStyle w:val="Hyperlink"/>
                <w:rFonts w:eastAsiaTheme="minorHAnsi"/>
                <w:noProof/>
              </w:rPr>
              <w:t xml:space="preserve">DISCUSSION OF THE </w:t>
            </w:r>
            <w:r w:rsidR="009D2BF6" w:rsidRPr="00860F7C">
              <w:rPr>
                <w:rStyle w:val="Hyperlink"/>
                <w:noProof/>
              </w:rPr>
              <w:t>TECHNIQUES</w:t>
            </w:r>
            <w:r w:rsidR="009D2BF6">
              <w:rPr>
                <w:noProof/>
                <w:webHidden/>
              </w:rPr>
              <w:tab/>
            </w:r>
            <w:r w:rsidR="009D2BF6">
              <w:rPr>
                <w:noProof/>
                <w:webHidden/>
              </w:rPr>
              <w:fldChar w:fldCharType="begin"/>
            </w:r>
            <w:r w:rsidR="009D2BF6">
              <w:rPr>
                <w:noProof/>
                <w:webHidden/>
              </w:rPr>
              <w:instrText xml:space="preserve"> PAGEREF _Toc350235765 \h </w:instrText>
            </w:r>
            <w:r w:rsidR="009D2BF6">
              <w:rPr>
                <w:noProof/>
                <w:webHidden/>
              </w:rPr>
            </w:r>
            <w:r w:rsidR="009D2BF6">
              <w:rPr>
                <w:noProof/>
                <w:webHidden/>
              </w:rPr>
              <w:fldChar w:fldCharType="separate"/>
            </w:r>
            <w:r w:rsidR="00794A4A">
              <w:rPr>
                <w:noProof/>
                <w:webHidden/>
              </w:rPr>
              <w:t>7</w:t>
            </w:r>
            <w:r w:rsidR="009D2BF6">
              <w:rPr>
                <w:noProof/>
                <w:webHidden/>
              </w:rPr>
              <w:fldChar w:fldCharType="end"/>
            </w:r>
          </w:hyperlink>
        </w:p>
        <w:p w:rsidR="009D2BF6" w:rsidRDefault="00C86A04">
          <w:pPr>
            <w:pStyle w:val="TOC3"/>
            <w:tabs>
              <w:tab w:val="right" w:leader="dot" w:pos="9016"/>
            </w:tabs>
            <w:rPr>
              <w:rFonts w:asciiTheme="minorHAnsi" w:eastAsiaTheme="minorEastAsia" w:hAnsiTheme="minorHAnsi"/>
              <w:noProof/>
              <w:lang w:eastAsia="en-GB"/>
            </w:rPr>
          </w:pPr>
          <w:hyperlink w:anchor="_Toc350235766" w:history="1">
            <w:r w:rsidR="009D2BF6" w:rsidRPr="00860F7C">
              <w:rPr>
                <w:rStyle w:val="Hyperlink"/>
                <w:noProof/>
              </w:rPr>
              <w:t>Seed Production Technology</w:t>
            </w:r>
            <w:r w:rsidR="009D2BF6">
              <w:rPr>
                <w:noProof/>
                <w:webHidden/>
              </w:rPr>
              <w:tab/>
            </w:r>
            <w:r w:rsidR="009D2BF6">
              <w:rPr>
                <w:noProof/>
                <w:webHidden/>
              </w:rPr>
              <w:fldChar w:fldCharType="begin"/>
            </w:r>
            <w:r w:rsidR="009D2BF6">
              <w:rPr>
                <w:noProof/>
                <w:webHidden/>
              </w:rPr>
              <w:instrText xml:space="preserve"> PAGEREF _Toc350235766 \h </w:instrText>
            </w:r>
            <w:r w:rsidR="009D2BF6">
              <w:rPr>
                <w:noProof/>
                <w:webHidden/>
              </w:rPr>
            </w:r>
            <w:r w:rsidR="009D2BF6">
              <w:rPr>
                <w:noProof/>
                <w:webHidden/>
              </w:rPr>
              <w:fldChar w:fldCharType="separate"/>
            </w:r>
            <w:r w:rsidR="00794A4A">
              <w:rPr>
                <w:noProof/>
                <w:webHidden/>
              </w:rPr>
              <w:t>7</w:t>
            </w:r>
            <w:r w:rsidR="009D2BF6">
              <w:rPr>
                <w:noProof/>
                <w:webHidden/>
              </w:rPr>
              <w:fldChar w:fldCharType="end"/>
            </w:r>
          </w:hyperlink>
        </w:p>
        <w:p w:rsidR="009D2BF6" w:rsidRDefault="00C86A04">
          <w:pPr>
            <w:pStyle w:val="TOC3"/>
            <w:tabs>
              <w:tab w:val="right" w:leader="dot" w:pos="9016"/>
            </w:tabs>
            <w:rPr>
              <w:rFonts w:asciiTheme="minorHAnsi" w:eastAsiaTheme="minorEastAsia" w:hAnsiTheme="minorHAnsi"/>
              <w:noProof/>
              <w:lang w:eastAsia="en-GB"/>
            </w:rPr>
          </w:pPr>
          <w:hyperlink w:anchor="_Toc350235767" w:history="1">
            <w:r w:rsidR="009D2BF6" w:rsidRPr="00860F7C">
              <w:rPr>
                <w:rStyle w:val="Hyperlink"/>
                <w:noProof/>
              </w:rPr>
              <w:t>Reverse Breeding</w:t>
            </w:r>
            <w:r w:rsidR="009D2BF6">
              <w:rPr>
                <w:noProof/>
                <w:webHidden/>
              </w:rPr>
              <w:tab/>
            </w:r>
            <w:r w:rsidR="009D2BF6">
              <w:rPr>
                <w:noProof/>
                <w:webHidden/>
              </w:rPr>
              <w:fldChar w:fldCharType="begin"/>
            </w:r>
            <w:r w:rsidR="009D2BF6">
              <w:rPr>
                <w:noProof/>
                <w:webHidden/>
              </w:rPr>
              <w:instrText xml:space="preserve"> PAGEREF _Toc350235767 \h </w:instrText>
            </w:r>
            <w:r w:rsidR="009D2BF6">
              <w:rPr>
                <w:noProof/>
                <w:webHidden/>
              </w:rPr>
            </w:r>
            <w:r w:rsidR="009D2BF6">
              <w:rPr>
                <w:noProof/>
                <w:webHidden/>
              </w:rPr>
              <w:fldChar w:fldCharType="separate"/>
            </w:r>
            <w:r w:rsidR="00794A4A">
              <w:rPr>
                <w:noProof/>
                <w:webHidden/>
              </w:rPr>
              <w:t>11</w:t>
            </w:r>
            <w:r w:rsidR="009D2BF6">
              <w:rPr>
                <w:noProof/>
                <w:webHidden/>
              </w:rPr>
              <w:fldChar w:fldCharType="end"/>
            </w:r>
          </w:hyperlink>
        </w:p>
        <w:p w:rsidR="009D2BF6" w:rsidRDefault="00C86A04">
          <w:pPr>
            <w:pStyle w:val="TOC3"/>
            <w:tabs>
              <w:tab w:val="right" w:leader="dot" w:pos="9016"/>
            </w:tabs>
            <w:rPr>
              <w:rFonts w:asciiTheme="minorHAnsi" w:eastAsiaTheme="minorEastAsia" w:hAnsiTheme="minorHAnsi"/>
              <w:noProof/>
              <w:lang w:eastAsia="en-GB"/>
            </w:rPr>
          </w:pPr>
          <w:hyperlink w:anchor="_Toc350235768" w:history="1">
            <w:r w:rsidR="009D2BF6" w:rsidRPr="00860F7C">
              <w:rPr>
                <w:rStyle w:val="Hyperlink"/>
                <w:noProof/>
              </w:rPr>
              <w:t>Cisgenesis and Intragenesis</w:t>
            </w:r>
            <w:r w:rsidR="009D2BF6">
              <w:rPr>
                <w:noProof/>
                <w:webHidden/>
              </w:rPr>
              <w:tab/>
            </w:r>
            <w:r w:rsidR="009D2BF6">
              <w:rPr>
                <w:noProof/>
                <w:webHidden/>
              </w:rPr>
              <w:fldChar w:fldCharType="begin"/>
            </w:r>
            <w:r w:rsidR="009D2BF6">
              <w:rPr>
                <w:noProof/>
                <w:webHidden/>
              </w:rPr>
              <w:instrText xml:space="preserve"> PAGEREF _Toc350235768 \h </w:instrText>
            </w:r>
            <w:r w:rsidR="009D2BF6">
              <w:rPr>
                <w:noProof/>
                <w:webHidden/>
              </w:rPr>
            </w:r>
            <w:r w:rsidR="009D2BF6">
              <w:rPr>
                <w:noProof/>
                <w:webHidden/>
              </w:rPr>
              <w:fldChar w:fldCharType="separate"/>
            </w:r>
            <w:r w:rsidR="00794A4A">
              <w:rPr>
                <w:noProof/>
                <w:webHidden/>
              </w:rPr>
              <w:t>14</w:t>
            </w:r>
            <w:r w:rsidR="009D2BF6">
              <w:rPr>
                <w:noProof/>
                <w:webHidden/>
              </w:rPr>
              <w:fldChar w:fldCharType="end"/>
            </w:r>
          </w:hyperlink>
        </w:p>
        <w:p w:rsidR="009D2BF6" w:rsidRDefault="00C86A04">
          <w:pPr>
            <w:pStyle w:val="TOC3"/>
            <w:tabs>
              <w:tab w:val="right" w:leader="dot" w:pos="9016"/>
            </w:tabs>
            <w:rPr>
              <w:rFonts w:asciiTheme="minorHAnsi" w:eastAsiaTheme="minorEastAsia" w:hAnsiTheme="minorHAnsi"/>
              <w:noProof/>
              <w:lang w:eastAsia="en-GB"/>
            </w:rPr>
          </w:pPr>
          <w:hyperlink w:anchor="_Toc350235769" w:history="1">
            <w:r w:rsidR="009D2BF6" w:rsidRPr="00860F7C">
              <w:rPr>
                <w:rStyle w:val="Hyperlink"/>
                <w:noProof/>
              </w:rPr>
              <w:t>GM Rootstock Grafting</w:t>
            </w:r>
            <w:r w:rsidR="009D2BF6">
              <w:rPr>
                <w:noProof/>
                <w:webHidden/>
              </w:rPr>
              <w:tab/>
            </w:r>
            <w:r w:rsidR="009D2BF6">
              <w:rPr>
                <w:noProof/>
                <w:webHidden/>
              </w:rPr>
              <w:fldChar w:fldCharType="begin"/>
            </w:r>
            <w:r w:rsidR="009D2BF6">
              <w:rPr>
                <w:noProof/>
                <w:webHidden/>
              </w:rPr>
              <w:instrText xml:space="preserve"> PAGEREF _Toc350235769 \h </w:instrText>
            </w:r>
            <w:r w:rsidR="009D2BF6">
              <w:rPr>
                <w:noProof/>
                <w:webHidden/>
              </w:rPr>
            </w:r>
            <w:r w:rsidR="009D2BF6">
              <w:rPr>
                <w:noProof/>
                <w:webHidden/>
              </w:rPr>
              <w:fldChar w:fldCharType="separate"/>
            </w:r>
            <w:r w:rsidR="00794A4A">
              <w:rPr>
                <w:noProof/>
                <w:webHidden/>
              </w:rPr>
              <w:t>16</w:t>
            </w:r>
            <w:r w:rsidR="009D2BF6">
              <w:rPr>
                <w:noProof/>
                <w:webHidden/>
              </w:rPr>
              <w:fldChar w:fldCharType="end"/>
            </w:r>
          </w:hyperlink>
        </w:p>
        <w:p w:rsidR="009D2BF6" w:rsidRDefault="00C86A04">
          <w:pPr>
            <w:pStyle w:val="TOC3"/>
            <w:tabs>
              <w:tab w:val="right" w:leader="dot" w:pos="9016"/>
            </w:tabs>
            <w:rPr>
              <w:rFonts w:asciiTheme="minorHAnsi" w:eastAsiaTheme="minorEastAsia" w:hAnsiTheme="minorHAnsi"/>
              <w:noProof/>
              <w:lang w:eastAsia="en-GB"/>
            </w:rPr>
          </w:pPr>
          <w:hyperlink w:anchor="_Toc350235770" w:history="1">
            <w:r w:rsidR="009D2BF6" w:rsidRPr="00860F7C">
              <w:rPr>
                <w:rStyle w:val="Hyperlink"/>
                <w:noProof/>
              </w:rPr>
              <w:t>Oligo-directed Mutagenesis</w:t>
            </w:r>
            <w:r w:rsidR="009D2BF6">
              <w:rPr>
                <w:noProof/>
                <w:webHidden/>
              </w:rPr>
              <w:tab/>
            </w:r>
            <w:r w:rsidR="009D2BF6">
              <w:rPr>
                <w:noProof/>
                <w:webHidden/>
              </w:rPr>
              <w:fldChar w:fldCharType="begin"/>
            </w:r>
            <w:r w:rsidR="009D2BF6">
              <w:rPr>
                <w:noProof/>
                <w:webHidden/>
              </w:rPr>
              <w:instrText xml:space="preserve"> PAGEREF _Toc350235770 \h </w:instrText>
            </w:r>
            <w:r w:rsidR="009D2BF6">
              <w:rPr>
                <w:noProof/>
                <w:webHidden/>
              </w:rPr>
            </w:r>
            <w:r w:rsidR="009D2BF6">
              <w:rPr>
                <w:noProof/>
                <w:webHidden/>
              </w:rPr>
              <w:fldChar w:fldCharType="separate"/>
            </w:r>
            <w:r w:rsidR="00794A4A">
              <w:rPr>
                <w:noProof/>
                <w:webHidden/>
              </w:rPr>
              <w:t>18</w:t>
            </w:r>
            <w:r w:rsidR="009D2BF6">
              <w:rPr>
                <w:noProof/>
                <w:webHidden/>
              </w:rPr>
              <w:fldChar w:fldCharType="end"/>
            </w:r>
          </w:hyperlink>
        </w:p>
        <w:p w:rsidR="009D2BF6" w:rsidRDefault="00C86A04">
          <w:pPr>
            <w:pStyle w:val="TOC3"/>
            <w:tabs>
              <w:tab w:val="right" w:leader="dot" w:pos="9016"/>
            </w:tabs>
            <w:rPr>
              <w:rFonts w:asciiTheme="minorHAnsi" w:eastAsiaTheme="minorEastAsia" w:hAnsiTheme="minorHAnsi"/>
              <w:noProof/>
              <w:lang w:eastAsia="en-GB"/>
            </w:rPr>
          </w:pPr>
          <w:hyperlink w:anchor="_Toc350235771" w:history="1">
            <w:r w:rsidR="009D2BF6" w:rsidRPr="00860F7C">
              <w:rPr>
                <w:rStyle w:val="Hyperlink"/>
                <w:noProof/>
              </w:rPr>
              <w:t>Zinc Finger Nuclease Technology</w:t>
            </w:r>
            <w:r w:rsidR="009D2BF6">
              <w:rPr>
                <w:noProof/>
                <w:webHidden/>
              </w:rPr>
              <w:tab/>
            </w:r>
            <w:r w:rsidR="009D2BF6">
              <w:rPr>
                <w:noProof/>
                <w:webHidden/>
              </w:rPr>
              <w:fldChar w:fldCharType="begin"/>
            </w:r>
            <w:r w:rsidR="009D2BF6">
              <w:rPr>
                <w:noProof/>
                <w:webHidden/>
              </w:rPr>
              <w:instrText xml:space="preserve"> PAGEREF _Toc350235771 \h </w:instrText>
            </w:r>
            <w:r w:rsidR="009D2BF6">
              <w:rPr>
                <w:noProof/>
                <w:webHidden/>
              </w:rPr>
            </w:r>
            <w:r w:rsidR="009D2BF6">
              <w:rPr>
                <w:noProof/>
                <w:webHidden/>
              </w:rPr>
              <w:fldChar w:fldCharType="separate"/>
            </w:r>
            <w:r w:rsidR="00794A4A">
              <w:rPr>
                <w:noProof/>
                <w:webHidden/>
              </w:rPr>
              <w:t>20</w:t>
            </w:r>
            <w:r w:rsidR="009D2BF6">
              <w:rPr>
                <w:noProof/>
                <w:webHidden/>
              </w:rPr>
              <w:fldChar w:fldCharType="end"/>
            </w:r>
          </w:hyperlink>
        </w:p>
        <w:p w:rsidR="009D2BF6" w:rsidRDefault="00C86A04">
          <w:pPr>
            <w:pStyle w:val="TOC2"/>
            <w:tabs>
              <w:tab w:val="right" w:leader="dot" w:pos="9016"/>
            </w:tabs>
            <w:rPr>
              <w:noProof/>
              <w:lang w:val="en-GB" w:eastAsia="en-GB"/>
            </w:rPr>
          </w:pPr>
          <w:hyperlink w:anchor="_Toc350235772" w:history="1">
            <w:r w:rsidR="009D2BF6" w:rsidRPr="00860F7C">
              <w:rPr>
                <w:rStyle w:val="Hyperlink"/>
                <w:noProof/>
              </w:rPr>
              <w:t>Appendix 1: Expert Panel</w:t>
            </w:r>
            <w:r w:rsidR="009D2BF6">
              <w:rPr>
                <w:noProof/>
                <w:webHidden/>
              </w:rPr>
              <w:tab/>
            </w:r>
            <w:r w:rsidR="009D2BF6">
              <w:rPr>
                <w:noProof/>
                <w:webHidden/>
              </w:rPr>
              <w:fldChar w:fldCharType="begin"/>
            </w:r>
            <w:r w:rsidR="009D2BF6">
              <w:rPr>
                <w:noProof/>
                <w:webHidden/>
              </w:rPr>
              <w:instrText xml:space="preserve"> PAGEREF _Toc350235772 \h </w:instrText>
            </w:r>
            <w:r w:rsidR="009D2BF6">
              <w:rPr>
                <w:noProof/>
                <w:webHidden/>
              </w:rPr>
            </w:r>
            <w:r w:rsidR="009D2BF6">
              <w:rPr>
                <w:noProof/>
                <w:webHidden/>
              </w:rPr>
              <w:fldChar w:fldCharType="separate"/>
            </w:r>
            <w:r w:rsidR="00794A4A">
              <w:rPr>
                <w:noProof/>
                <w:webHidden/>
              </w:rPr>
              <w:t>23</w:t>
            </w:r>
            <w:r w:rsidR="009D2BF6">
              <w:rPr>
                <w:noProof/>
                <w:webHidden/>
              </w:rPr>
              <w:fldChar w:fldCharType="end"/>
            </w:r>
          </w:hyperlink>
        </w:p>
        <w:p w:rsidR="009D1A82" w:rsidRDefault="009D1A82">
          <w:r>
            <w:rPr>
              <w:b/>
              <w:bCs/>
              <w:noProof/>
            </w:rPr>
            <w:fldChar w:fldCharType="end"/>
          </w:r>
        </w:p>
      </w:sdtContent>
    </w:sdt>
    <w:p w:rsidR="00224BFC" w:rsidRDefault="00224BFC" w:rsidP="00791D10">
      <w:pPr>
        <w:rPr>
          <w:szCs w:val="28"/>
        </w:rPr>
      </w:pPr>
    </w:p>
    <w:p w:rsidR="00791D10" w:rsidRDefault="00791D10" w:rsidP="00791D10">
      <w:pPr>
        <w:rPr>
          <w:szCs w:val="28"/>
        </w:rPr>
      </w:pPr>
    </w:p>
    <w:p w:rsidR="00791D10" w:rsidRDefault="00791D10" w:rsidP="00791D10">
      <w:pPr>
        <w:rPr>
          <w:rFonts w:cs="Arial"/>
        </w:rPr>
      </w:pPr>
    </w:p>
    <w:p w:rsidR="00791D10" w:rsidRDefault="00791D10" w:rsidP="00791D10">
      <w:pPr>
        <w:rPr>
          <w:rFonts w:cs="Arial"/>
        </w:rPr>
      </w:pPr>
    </w:p>
    <w:p w:rsidR="00791D10" w:rsidRDefault="00791D10" w:rsidP="00791D10">
      <w:pPr>
        <w:rPr>
          <w:rFonts w:cs="Arial"/>
        </w:rPr>
      </w:pPr>
    </w:p>
    <w:p w:rsidR="0015338C" w:rsidRDefault="0015338C" w:rsidP="00791D10">
      <w:pPr>
        <w:rPr>
          <w:rFonts w:cs="Arial"/>
        </w:rPr>
      </w:pPr>
    </w:p>
    <w:p w:rsidR="0015338C" w:rsidRDefault="0015338C" w:rsidP="00791D10">
      <w:pPr>
        <w:rPr>
          <w:rFonts w:cs="Arial"/>
        </w:rPr>
      </w:pPr>
    </w:p>
    <w:p w:rsidR="0015338C" w:rsidRDefault="0015338C" w:rsidP="00791D10">
      <w:pPr>
        <w:rPr>
          <w:rFonts w:cs="Arial"/>
        </w:rPr>
      </w:pPr>
    </w:p>
    <w:p w:rsidR="0015338C" w:rsidRDefault="0015338C" w:rsidP="00791D10">
      <w:pPr>
        <w:rPr>
          <w:rFonts w:cs="Arial"/>
        </w:rPr>
      </w:pPr>
    </w:p>
    <w:p w:rsidR="0015338C" w:rsidRDefault="0015338C" w:rsidP="00791D10">
      <w:pPr>
        <w:rPr>
          <w:rFonts w:cs="Arial"/>
        </w:rPr>
      </w:pPr>
    </w:p>
    <w:p w:rsidR="0015338C" w:rsidRDefault="0015338C" w:rsidP="00791D10">
      <w:pPr>
        <w:rPr>
          <w:rFonts w:cs="Arial"/>
        </w:rPr>
      </w:pPr>
    </w:p>
    <w:p w:rsidR="0015338C" w:rsidRDefault="0015338C" w:rsidP="00791D10">
      <w:pPr>
        <w:rPr>
          <w:rFonts w:cs="Arial"/>
        </w:rPr>
      </w:pPr>
    </w:p>
    <w:p w:rsidR="0015338C" w:rsidRDefault="0015338C" w:rsidP="00791D10">
      <w:pPr>
        <w:rPr>
          <w:rFonts w:cs="Arial"/>
        </w:rPr>
      </w:pPr>
    </w:p>
    <w:p w:rsidR="0015338C" w:rsidRDefault="0015338C" w:rsidP="00791D10">
      <w:pPr>
        <w:rPr>
          <w:rFonts w:cs="Arial"/>
        </w:rPr>
      </w:pPr>
    </w:p>
    <w:p w:rsidR="0015338C" w:rsidRDefault="0015338C" w:rsidP="00791D10">
      <w:pPr>
        <w:rPr>
          <w:rFonts w:cs="Arial"/>
        </w:rPr>
      </w:pPr>
    </w:p>
    <w:p w:rsidR="0015338C" w:rsidRDefault="0015338C" w:rsidP="00791D10">
      <w:pPr>
        <w:rPr>
          <w:rFonts w:cs="Arial"/>
        </w:rPr>
      </w:pPr>
    </w:p>
    <w:p w:rsidR="00620445" w:rsidRDefault="00620445" w:rsidP="001C34ED">
      <w:pPr>
        <w:rPr>
          <w:szCs w:val="28"/>
        </w:rPr>
      </w:pPr>
    </w:p>
    <w:p w:rsidR="00620445" w:rsidRDefault="00620445" w:rsidP="001C34ED">
      <w:pPr>
        <w:rPr>
          <w:szCs w:val="28"/>
        </w:rPr>
      </w:pPr>
    </w:p>
    <w:p w:rsidR="00620445" w:rsidRPr="00844EA4" w:rsidRDefault="00620445" w:rsidP="0015338C">
      <w:pPr>
        <w:rPr>
          <w:rFonts w:cs="Arial"/>
        </w:rPr>
      </w:pPr>
    </w:p>
    <w:p w:rsidR="00980F0C" w:rsidRDefault="00980F0C" w:rsidP="001C34ED">
      <w:pPr>
        <w:rPr>
          <w:rFonts w:cs="Arial"/>
          <w:b/>
          <w:sz w:val="24"/>
          <w:szCs w:val="24"/>
        </w:rPr>
      </w:pPr>
      <w:r>
        <w:rPr>
          <w:rFonts w:cs="Arial"/>
          <w:b/>
          <w:sz w:val="24"/>
          <w:szCs w:val="24"/>
        </w:rPr>
        <w:br w:type="page"/>
      </w:r>
    </w:p>
    <w:p w:rsidR="00396DD0" w:rsidRPr="0030356B" w:rsidRDefault="00980F0C" w:rsidP="00D03993">
      <w:pPr>
        <w:pStyle w:val="Heading2"/>
      </w:pPr>
      <w:bookmarkStart w:id="2" w:name="_Toc350235764"/>
      <w:r w:rsidRPr="0030356B">
        <w:t>BACKGROUND</w:t>
      </w:r>
      <w:bookmarkEnd w:id="2"/>
      <w:r w:rsidR="00682088" w:rsidRPr="0030356B">
        <w:t xml:space="preserve"> </w:t>
      </w:r>
    </w:p>
    <w:p w:rsidR="00D03993" w:rsidRDefault="00D03993" w:rsidP="005B669C">
      <w:pPr>
        <w:rPr>
          <w:rFonts w:cs="Arial"/>
        </w:rPr>
      </w:pPr>
    </w:p>
    <w:p w:rsidR="007F4596" w:rsidRDefault="00B17D49" w:rsidP="005B669C">
      <w:pPr>
        <w:rPr>
          <w:rFonts w:cs="Arial"/>
        </w:rPr>
      </w:pPr>
      <w:r w:rsidRPr="00F45366">
        <w:rPr>
          <w:rFonts w:cs="Arial"/>
        </w:rPr>
        <w:t xml:space="preserve">All </w:t>
      </w:r>
      <w:r w:rsidR="007F4596">
        <w:rPr>
          <w:rFonts w:cs="Arial"/>
        </w:rPr>
        <w:t>genetically modified (GM)</w:t>
      </w:r>
      <w:r w:rsidRPr="00F45366">
        <w:rPr>
          <w:rFonts w:cs="Arial"/>
        </w:rPr>
        <w:t xml:space="preserve"> foods in Australia and New Zealand are subject </w:t>
      </w:r>
      <w:r w:rsidR="00D743F6">
        <w:rPr>
          <w:rFonts w:cs="Arial"/>
        </w:rPr>
        <w:t xml:space="preserve">to </w:t>
      </w:r>
      <w:r w:rsidRPr="00F45366">
        <w:rPr>
          <w:rFonts w:cs="Arial"/>
        </w:rPr>
        <w:t xml:space="preserve">approval </w:t>
      </w:r>
      <w:r w:rsidR="00C84D4B">
        <w:rPr>
          <w:rFonts w:cs="Arial"/>
        </w:rPr>
        <w:t xml:space="preserve">in </w:t>
      </w:r>
      <w:r>
        <w:rPr>
          <w:rFonts w:cs="Arial"/>
        </w:rPr>
        <w:t xml:space="preserve">Standard 1.5.2 – Food produced using Gene Technology </w:t>
      </w:r>
      <w:r w:rsidRPr="00F45366">
        <w:rPr>
          <w:rFonts w:cs="Arial"/>
        </w:rPr>
        <w:t xml:space="preserve">under the </w:t>
      </w:r>
      <w:r w:rsidRPr="00F45366">
        <w:rPr>
          <w:rFonts w:cs="Arial"/>
          <w:i/>
        </w:rPr>
        <w:t>Australia New Zealand Food Standards Code</w:t>
      </w:r>
      <w:r w:rsidRPr="00F45366">
        <w:rPr>
          <w:rFonts w:cs="Arial"/>
        </w:rPr>
        <w:t xml:space="preserve"> (the Code)</w:t>
      </w:r>
      <w:r w:rsidR="007F4596">
        <w:rPr>
          <w:rFonts w:cs="Arial"/>
        </w:rPr>
        <w:t>.</w:t>
      </w:r>
      <w:r w:rsidR="00C84D4B">
        <w:rPr>
          <w:rFonts w:cs="Arial"/>
        </w:rPr>
        <w:t xml:space="preserve"> Approval is contingent on completion of a food safety assessment.</w:t>
      </w:r>
    </w:p>
    <w:p w:rsidR="007F4596" w:rsidRDefault="007F4596" w:rsidP="005B669C">
      <w:pPr>
        <w:rPr>
          <w:rFonts w:cs="Arial"/>
        </w:rPr>
      </w:pPr>
    </w:p>
    <w:p w:rsidR="00B17D49" w:rsidRDefault="00B17D49" w:rsidP="005B669C">
      <w:pPr>
        <w:rPr>
          <w:rFonts w:cs="Arial"/>
        </w:rPr>
      </w:pPr>
      <w:r>
        <w:rPr>
          <w:rFonts w:cs="Arial"/>
        </w:rPr>
        <w:t>The original intent of the standard</w:t>
      </w:r>
      <w:r w:rsidR="00CF6B87">
        <w:rPr>
          <w:rFonts w:cs="Arial"/>
        </w:rPr>
        <w:t xml:space="preserve">, which </w:t>
      </w:r>
      <w:r w:rsidR="00CF5113">
        <w:rPr>
          <w:rFonts w:cs="Arial"/>
        </w:rPr>
        <w:t>came into force in 1999</w:t>
      </w:r>
      <w:r w:rsidR="00CF6B87">
        <w:rPr>
          <w:rFonts w:cs="Arial"/>
        </w:rPr>
        <w:t>,</w:t>
      </w:r>
      <w:r>
        <w:rPr>
          <w:rFonts w:cs="Arial"/>
        </w:rPr>
        <w:t xml:space="preserve"> was to ensure that food produced </w:t>
      </w:r>
      <w:r w:rsidR="0091171E">
        <w:rPr>
          <w:rFonts w:cs="Arial"/>
        </w:rPr>
        <w:t>using</w:t>
      </w:r>
      <w:r>
        <w:rPr>
          <w:rFonts w:cs="Arial"/>
        </w:rPr>
        <w:t xml:space="preserve"> recombinant DNA technology </w:t>
      </w:r>
      <w:r w:rsidR="006D65E7">
        <w:rPr>
          <w:rFonts w:cs="Arial"/>
        </w:rPr>
        <w:t>was</w:t>
      </w:r>
      <w:r>
        <w:rPr>
          <w:rFonts w:cs="Arial"/>
        </w:rPr>
        <w:t xml:space="preserve"> referred to </w:t>
      </w:r>
      <w:r w:rsidR="009B1FE3">
        <w:rPr>
          <w:rFonts w:cs="Arial"/>
        </w:rPr>
        <w:t>Food Standards Australia New Zealand (FSANZ)</w:t>
      </w:r>
      <w:r>
        <w:rPr>
          <w:rFonts w:cs="Arial"/>
        </w:rPr>
        <w:t xml:space="preserve"> for pre-market approval. Food produced using </w:t>
      </w:r>
      <w:r w:rsidR="000B2ABB">
        <w:rPr>
          <w:rFonts w:cs="Arial"/>
        </w:rPr>
        <w:t xml:space="preserve">conventional </w:t>
      </w:r>
      <w:r w:rsidR="002832A5">
        <w:rPr>
          <w:rFonts w:cs="Arial"/>
        </w:rPr>
        <w:t xml:space="preserve">breeding </w:t>
      </w:r>
      <w:r w:rsidR="000B2ABB">
        <w:rPr>
          <w:rFonts w:cs="Arial"/>
        </w:rPr>
        <w:t xml:space="preserve">techniques </w:t>
      </w:r>
      <w:r w:rsidR="00830207">
        <w:rPr>
          <w:rFonts w:cs="Arial"/>
        </w:rPr>
        <w:t>was</w:t>
      </w:r>
      <w:r w:rsidR="000B2ABB">
        <w:rPr>
          <w:rFonts w:cs="Arial"/>
        </w:rPr>
        <w:t xml:space="preserve"> intended to be excluded from the standard. At the time, conventional </w:t>
      </w:r>
      <w:r w:rsidR="002832A5">
        <w:rPr>
          <w:rFonts w:cs="Arial"/>
        </w:rPr>
        <w:t xml:space="preserve">plant breeding </w:t>
      </w:r>
      <w:r w:rsidR="000B2ABB">
        <w:rPr>
          <w:rFonts w:cs="Arial"/>
        </w:rPr>
        <w:t xml:space="preserve">techniques were considered to include </w:t>
      </w:r>
      <w:r w:rsidR="007F708D">
        <w:rPr>
          <w:rFonts w:cs="Arial"/>
        </w:rPr>
        <w:t>“</w:t>
      </w:r>
      <w:r w:rsidR="000B2ABB">
        <w:rPr>
          <w:rFonts w:cs="Arial"/>
        </w:rPr>
        <w:t xml:space="preserve">traditional cross-breeding, mutagenic techniques, and cell culture techniques such as hybridisation or </w:t>
      </w:r>
      <w:r w:rsidR="004F0841">
        <w:rPr>
          <w:rFonts w:cs="Arial"/>
        </w:rPr>
        <w:t>protoplast fusion</w:t>
      </w:r>
      <w:r w:rsidR="007F708D">
        <w:rPr>
          <w:rFonts w:cs="Arial"/>
        </w:rPr>
        <w:t>”</w:t>
      </w:r>
      <w:r w:rsidR="00B00EC7">
        <w:rPr>
          <w:rStyle w:val="FootnoteReference"/>
          <w:rFonts w:cs="Arial"/>
        </w:rPr>
        <w:footnoteReference w:id="1"/>
      </w:r>
      <w:r w:rsidR="004F0841">
        <w:rPr>
          <w:rFonts w:cs="Arial"/>
        </w:rPr>
        <w:t>.</w:t>
      </w:r>
    </w:p>
    <w:p w:rsidR="004F0841" w:rsidRDefault="004F0841" w:rsidP="005B669C">
      <w:pPr>
        <w:rPr>
          <w:rFonts w:cs="Arial"/>
        </w:rPr>
      </w:pPr>
    </w:p>
    <w:p w:rsidR="000061A7" w:rsidRDefault="00D52F35" w:rsidP="005B669C">
      <w:pPr>
        <w:rPr>
          <w:rFonts w:cs="Arial"/>
        </w:rPr>
      </w:pPr>
      <w:r>
        <w:rPr>
          <w:rFonts w:cs="Arial"/>
        </w:rPr>
        <w:t xml:space="preserve">During the thirteen years </w:t>
      </w:r>
      <w:r w:rsidR="006D65E7">
        <w:rPr>
          <w:rFonts w:cs="Arial"/>
        </w:rPr>
        <w:t xml:space="preserve">in </w:t>
      </w:r>
      <w:r>
        <w:rPr>
          <w:rFonts w:cs="Arial"/>
        </w:rPr>
        <w:t xml:space="preserve">which the standard has operated, all </w:t>
      </w:r>
      <w:r w:rsidR="00DC2079">
        <w:rPr>
          <w:rFonts w:cs="Arial"/>
        </w:rPr>
        <w:t xml:space="preserve">GM </w:t>
      </w:r>
      <w:r>
        <w:rPr>
          <w:rFonts w:cs="Arial"/>
        </w:rPr>
        <w:t xml:space="preserve">food that </w:t>
      </w:r>
      <w:r w:rsidR="009B1FE3">
        <w:rPr>
          <w:rFonts w:cs="Arial"/>
        </w:rPr>
        <w:t>has</w:t>
      </w:r>
      <w:r>
        <w:rPr>
          <w:rFonts w:cs="Arial"/>
        </w:rPr>
        <w:t xml:space="preserve"> been </w:t>
      </w:r>
      <w:r w:rsidR="00F56672">
        <w:rPr>
          <w:rFonts w:cs="Arial"/>
        </w:rPr>
        <w:t>submitted to FSANZ for assessment and approval has</w:t>
      </w:r>
      <w:r>
        <w:rPr>
          <w:rFonts w:cs="Arial"/>
        </w:rPr>
        <w:t xml:space="preserve"> been derived from transgenic</w:t>
      </w:r>
      <w:r w:rsidR="00BE2117">
        <w:rPr>
          <w:rStyle w:val="FootnoteReference"/>
          <w:rFonts w:cs="Arial"/>
        </w:rPr>
        <w:footnoteReference w:id="2"/>
      </w:r>
      <w:r>
        <w:rPr>
          <w:rFonts w:cs="Arial"/>
        </w:rPr>
        <w:t xml:space="preserve"> plants. </w:t>
      </w:r>
      <w:r w:rsidR="004F0841">
        <w:rPr>
          <w:rFonts w:cs="Arial"/>
        </w:rPr>
        <w:t>During 2011 FSANZ received a number of enquiries</w:t>
      </w:r>
      <w:r w:rsidR="003C6C41">
        <w:rPr>
          <w:rFonts w:cs="Arial"/>
        </w:rPr>
        <w:t xml:space="preserve"> </w:t>
      </w:r>
      <w:r w:rsidR="00DC2079">
        <w:rPr>
          <w:rFonts w:cs="Arial"/>
        </w:rPr>
        <w:t xml:space="preserve">from researchers and industry </w:t>
      </w:r>
      <w:r w:rsidR="00F931F0">
        <w:rPr>
          <w:rFonts w:cs="Arial"/>
        </w:rPr>
        <w:t>about</w:t>
      </w:r>
      <w:r w:rsidR="003C6C41">
        <w:rPr>
          <w:rFonts w:cs="Arial"/>
        </w:rPr>
        <w:t xml:space="preserve"> </w:t>
      </w:r>
      <w:r w:rsidR="00DC2079">
        <w:rPr>
          <w:rFonts w:cs="Arial"/>
        </w:rPr>
        <w:t xml:space="preserve">the regulatory status of </w:t>
      </w:r>
      <w:r w:rsidR="003C6C41">
        <w:rPr>
          <w:rFonts w:cs="Arial"/>
        </w:rPr>
        <w:t>various plant breeding techniques</w:t>
      </w:r>
      <w:r w:rsidR="00564F7C">
        <w:rPr>
          <w:rFonts w:cs="Arial"/>
        </w:rPr>
        <w:t xml:space="preserve"> developed more recently</w:t>
      </w:r>
      <w:r w:rsidR="00F931F0">
        <w:rPr>
          <w:rFonts w:cs="Arial"/>
        </w:rPr>
        <w:t xml:space="preserve">. </w:t>
      </w:r>
      <w:r w:rsidR="000061A7">
        <w:rPr>
          <w:rFonts w:cs="Arial"/>
        </w:rPr>
        <w:t xml:space="preserve">This generated significant debate within FSANZ as it was not </w:t>
      </w:r>
      <w:r w:rsidR="0091171E">
        <w:rPr>
          <w:rFonts w:cs="Arial"/>
        </w:rPr>
        <w:t xml:space="preserve">immediately </w:t>
      </w:r>
      <w:r w:rsidR="00F43769">
        <w:rPr>
          <w:rFonts w:cs="Arial"/>
        </w:rPr>
        <w:t>clear</w:t>
      </w:r>
      <w:r w:rsidR="000061A7">
        <w:rPr>
          <w:rFonts w:cs="Arial"/>
        </w:rPr>
        <w:t xml:space="preserve"> whether (i) such techniques would be captured by the current definitions in Standard 1.5.2, or (ii) if they were captured, whether that </w:t>
      </w:r>
      <w:r w:rsidR="000B3A7E">
        <w:rPr>
          <w:rFonts w:cs="Arial"/>
        </w:rPr>
        <w:t>would be</w:t>
      </w:r>
      <w:r w:rsidR="000061A7">
        <w:rPr>
          <w:rFonts w:cs="Arial"/>
        </w:rPr>
        <w:t xml:space="preserve"> scientifically appropriate and consistent with the original intent of the Standard.</w:t>
      </w:r>
      <w:r w:rsidR="00F43769">
        <w:rPr>
          <w:rFonts w:cs="Arial"/>
        </w:rPr>
        <w:t xml:space="preserve"> </w:t>
      </w:r>
      <w:r w:rsidR="00853E83">
        <w:rPr>
          <w:rFonts w:cs="Arial"/>
        </w:rPr>
        <w:t xml:space="preserve">Similarly, it was necessary to consider whether any new </w:t>
      </w:r>
      <w:r w:rsidR="00B5160D">
        <w:rPr>
          <w:rFonts w:cs="Arial"/>
        </w:rPr>
        <w:t>technique not</w:t>
      </w:r>
      <w:r w:rsidR="00853E83">
        <w:rPr>
          <w:rFonts w:cs="Arial"/>
        </w:rPr>
        <w:t xml:space="preserve"> captured would raise food safety concerns.</w:t>
      </w:r>
    </w:p>
    <w:p w:rsidR="00B5160D" w:rsidRDefault="00B5160D" w:rsidP="006D0696"/>
    <w:p w:rsidR="006D0696" w:rsidRDefault="00765FBE" w:rsidP="006D0696">
      <w:pPr>
        <w:rPr>
          <w:rFonts w:cs="Arial"/>
        </w:rPr>
      </w:pPr>
      <w:r>
        <w:t xml:space="preserve">To assist FSANZ to address these </w:t>
      </w:r>
      <w:r w:rsidR="00A926A5">
        <w:t>issues</w:t>
      </w:r>
      <w:r>
        <w:t xml:space="preserve">, </w:t>
      </w:r>
      <w:r w:rsidR="009C17DD">
        <w:t xml:space="preserve">an expert panel </w:t>
      </w:r>
      <w:r w:rsidR="000B5BAC">
        <w:t>was</w:t>
      </w:r>
      <w:r>
        <w:t xml:space="preserve"> convened </w:t>
      </w:r>
      <w:r w:rsidR="009C17DD">
        <w:t xml:space="preserve">and asked to provide </w:t>
      </w:r>
      <w:r>
        <w:t xml:space="preserve">scientific </w:t>
      </w:r>
      <w:r w:rsidR="009C17DD">
        <w:t xml:space="preserve">advice in relation to six techniques at a closed technical workshop held </w:t>
      </w:r>
      <w:r w:rsidR="00CD109C">
        <w:t>on</w:t>
      </w:r>
      <w:r w:rsidR="009C17DD">
        <w:t xml:space="preserve"> </w:t>
      </w:r>
      <w:r w:rsidR="00CD109C">
        <w:t xml:space="preserve">11 </w:t>
      </w:r>
      <w:r w:rsidR="009C17DD">
        <w:t xml:space="preserve">May 2012. </w:t>
      </w:r>
      <w:r w:rsidR="006D0696">
        <w:rPr>
          <w:rFonts w:cs="Arial"/>
        </w:rPr>
        <w:t xml:space="preserve">The objectives of the workshop were to: </w:t>
      </w:r>
      <w:r w:rsidR="00A926A5">
        <w:rPr>
          <w:rFonts w:cs="Arial"/>
        </w:rPr>
        <w:t>e</w:t>
      </w:r>
      <w:r w:rsidR="00853E83">
        <w:rPr>
          <w:rFonts w:cs="Arial"/>
        </w:rPr>
        <w:t>n</w:t>
      </w:r>
      <w:r w:rsidR="00A926A5">
        <w:rPr>
          <w:rFonts w:cs="Arial"/>
        </w:rPr>
        <w:t>hance</w:t>
      </w:r>
      <w:r w:rsidR="006D0696">
        <w:rPr>
          <w:rFonts w:cs="Arial"/>
        </w:rPr>
        <w:t xml:space="preserve"> FSANZ’s scientific knowledge and understanding of each of the techniques; and </w:t>
      </w:r>
      <w:r w:rsidR="006D0696">
        <w:t xml:space="preserve">provide scientific advice on the nature of derived food products. </w:t>
      </w:r>
      <w:r w:rsidR="006D0696">
        <w:rPr>
          <w:rFonts w:cs="Arial"/>
        </w:rPr>
        <w:t xml:space="preserve">It was not the role of the panel to make a legal determination as to whether the techniques or their derived food products would come within the definition of ‘food produced using gene technology’ in Standard 1.5.2 of the </w:t>
      </w:r>
      <w:r w:rsidR="007F3A7E">
        <w:rPr>
          <w:rFonts w:cs="Arial"/>
        </w:rPr>
        <w:t>Code</w:t>
      </w:r>
      <w:r w:rsidR="006D0696">
        <w:rPr>
          <w:rFonts w:cs="Arial"/>
        </w:rPr>
        <w:t xml:space="preserve">. However, </w:t>
      </w:r>
      <w:r w:rsidR="007F3A7E">
        <w:rPr>
          <w:rFonts w:cs="Arial"/>
        </w:rPr>
        <w:t xml:space="preserve">members of </w:t>
      </w:r>
      <w:r w:rsidR="006D0696">
        <w:rPr>
          <w:rFonts w:cs="Arial"/>
        </w:rPr>
        <w:t xml:space="preserve">the expert panel were asked to provide their scientific opinion </w:t>
      </w:r>
      <w:r w:rsidR="00A926A5">
        <w:rPr>
          <w:rFonts w:cs="Arial"/>
        </w:rPr>
        <w:t>on</w:t>
      </w:r>
      <w:r w:rsidR="006D0696">
        <w:rPr>
          <w:rFonts w:cs="Arial"/>
        </w:rPr>
        <w:t xml:space="preserve"> whether derived food products should be regarded as GM food. </w:t>
      </w:r>
    </w:p>
    <w:p w:rsidR="00765FBE" w:rsidRDefault="00765FBE" w:rsidP="00CC7484">
      <w:pPr>
        <w:tabs>
          <w:tab w:val="left" w:pos="7088"/>
        </w:tabs>
      </w:pPr>
    </w:p>
    <w:p w:rsidR="00D52F35" w:rsidRDefault="007B1EA7" w:rsidP="00CC7484">
      <w:pPr>
        <w:tabs>
          <w:tab w:val="left" w:pos="7088"/>
        </w:tabs>
      </w:pPr>
      <w:r>
        <w:t xml:space="preserve">The </w:t>
      </w:r>
      <w:r w:rsidR="008E03C9">
        <w:t xml:space="preserve">expert </w:t>
      </w:r>
      <w:r>
        <w:t xml:space="preserve">panel included </w:t>
      </w:r>
      <w:r w:rsidR="009655C9">
        <w:t xml:space="preserve">research </w:t>
      </w:r>
      <w:r>
        <w:t xml:space="preserve">scientists with expertise in </w:t>
      </w:r>
      <w:r w:rsidRPr="00F45366">
        <w:rPr>
          <w:rFonts w:cs="Arial"/>
        </w:rPr>
        <w:t>plant biotechnology</w:t>
      </w:r>
      <w:r w:rsidR="009655C9">
        <w:rPr>
          <w:rFonts w:cs="Arial"/>
        </w:rPr>
        <w:t xml:space="preserve"> and</w:t>
      </w:r>
      <w:r w:rsidRPr="00F45366">
        <w:rPr>
          <w:rFonts w:cs="Arial"/>
        </w:rPr>
        <w:t xml:space="preserve"> plant breeding </w:t>
      </w:r>
      <w:r w:rsidR="009655C9">
        <w:rPr>
          <w:rFonts w:cs="Arial"/>
        </w:rPr>
        <w:t>as well as familiarity with</w:t>
      </w:r>
      <w:r w:rsidR="009655C9" w:rsidRPr="00F45366">
        <w:rPr>
          <w:rFonts w:cs="Arial"/>
        </w:rPr>
        <w:t xml:space="preserve"> </w:t>
      </w:r>
      <w:r w:rsidRPr="00F45366">
        <w:rPr>
          <w:rFonts w:cs="Arial"/>
        </w:rPr>
        <w:t xml:space="preserve">GM food </w:t>
      </w:r>
      <w:r>
        <w:rPr>
          <w:rFonts w:cs="Arial"/>
        </w:rPr>
        <w:t xml:space="preserve">safety assessment and regulation. </w:t>
      </w:r>
      <w:r w:rsidR="008E03C9">
        <w:t>Membership</w:t>
      </w:r>
      <w:r>
        <w:t xml:space="preserve"> of the </w:t>
      </w:r>
      <w:r w:rsidR="008E03C9">
        <w:t xml:space="preserve">expert </w:t>
      </w:r>
      <w:r>
        <w:t xml:space="preserve">panel is </w:t>
      </w:r>
      <w:r w:rsidR="008E03C9">
        <w:t>shown in</w:t>
      </w:r>
      <w:r>
        <w:t xml:space="preserve"> </w:t>
      </w:r>
      <w:r>
        <w:rPr>
          <w:b/>
        </w:rPr>
        <w:t>Appendix 1</w:t>
      </w:r>
      <w:r>
        <w:t xml:space="preserve">. </w:t>
      </w:r>
      <w:r w:rsidR="00D4472D">
        <w:t xml:space="preserve">Other workshop participants were from </w:t>
      </w:r>
      <w:r w:rsidR="00B15071">
        <w:t>FSANZ</w:t>
      </w:r>
      <w:r w:rsidR="00D4472D">
        <w:t xml:space="preserve">, the Office of the Gene Technology Regulator </w:t>
      </w:r>
      <w:r w:rsidR="00B15071">
        <w:t xml:space="preserve">(OGTR) </w:t>
      </w:r>
      <w:r w:rsidR="00D4472D">
        <w:t>and the New Zealand Environmental Protection Authority</w:t>
      </w:r>
      <w:r w:rsidR="00B15071">
        <w:t xml:space="preserve"> (NZEPA)</w:t>
      </w:r>
      <w:r w:rsidR="00D4472D">
        <w:t xml:space="preserve">. </w:t>
      </w:r>
      <w:r>
        <w:t xml:space="preserve">The </w:t>
      </w:r>
      <w:r w:rsidR="005D71A5">
        <w:t xml:space="preserve">workshop </w:t>
      </w:r>
      <w:r>
        <w:t>was chaired by Professor Peter Langridge</w:t>
      </w:r>
      <w:r w:rsidR="00ED4325">
        <w:t xml:space="preserve">, Director </w:t>
      </w:r>
      <w:r w:rsidR="00CC7484">
        <w:t xml:space="preserve">and CEO, </w:t>
      </w:r>
      <w:r w:rsidR="00ED4325">
        <w:t>Australian Centre for Plant Functional Genomics</w:t>
      </w:r>
      <w:r w:rsidR="00CC7484">
        <w:t>, University of Adelaide</w:t>
      </w:r>
      <w:r>
        <w:t>.</w:t>
      </w:r>
    </w:p>
    <w:p w:rsidR="00EF4CB0" w:rsidRDefault="00EF4CB0" w:rsidP="005B669C"/>
    <w:p w:rsidR="00EF4CB0" w:rsidRPr="00EF4CB0" w:rsidRDefault="00EF4CB0" w:rsidP="00705CCF">
      <w:pPr>
        <w:rPr>
          <w:rFonts w:cs="Arial"/>
        </w:rPr>
      </w:pPr>
      <w:r>
        <w:t xml:space="preserve">The workshop consisted of a presentation by each panel member on a </w:t>
      </w:r>
      <w:r w:rsidR="00C7794D">
        <w:t xml:space="preserve">specific </w:t>
      </w:r>
      <w:r>
        <w:t>plant breeding technique</w:t>
      </w:r>
      <w:r w:rsidR="00C7794D">
        <w:t xml:space="preserve">, followed by </w:t>
      </w:r>
      <w:r w:rsidR="00F97794">
        <w:t xml:space="preserve">questions and </w:t>
      </w:r>
      <w:r w:rsidR="00C7794D">
        <w:t>discussion</w:t>
      </w:r>
      <w:r w:rsidR="00564F7C">
        <w:t xml:space="preserve"> with participants</w:t>
      </w:r>
      <w:r>
        <w:t>. The</w:t>
      </w:r>
      <w:r w:rsidR="009B1FE3">
        <w:t xml:space="preserve"> techniques</w:t>
      </w:r>
      <w:r>
        <w:t xml:space="preserve"> </w:t>
      </w:r>
      <w:r w:rsidR="00DE50D5">
        <w:t xml:space="preserve">selected for discussion </w:t>
      </w:r>
      <w:r>
        <w:t>were: Pioneer</w:t>
      </w:r>
      <w:r w:rsidR="00564F7C">
        <w:t xml:space="preserve"> Hi-Bred International</w:t>
      </w:r>
      <w:r>
        <w:t xml:space="preserve">’s proprietary seed production technology, reverse breeding, cisgenesis and intragenesis, GM rootstock grafting, oligo-directed mutagenesis, and zinc-finger </w:t>
      </w:r>
      <w:r w:rsidR="00412DBF">
        <w:t>nuclease technology</w:t>
      </w:r>
      <w:r>
        <w:t>. The workshop considered a number of key questions for each technique</w:t>
      </w:r>
      <w:r w:rsidR="00CC7484">
        <w:t xml:space="preserve">. </w:t>
      </w:r>
      <w:r>
        <w:t xml:space="preserve">The key questions </w:t>
      </w:r>
      <w:r w:rsidR="00705CCF">
        <w:rPr>
          <w:rFonts w:cs="Arial"/>
        </w:rPr>
        <w:t xml:space="preserve">focussed on: the nature of the changes introduced using each technique; whether introduced changes were present in the final food producing line and derived food products; </w:t>
      </w:r>
      <w:r w:rsidR="00CC7484">
        <w:rPr>
          <w:rFonts w:cs="Arial"/>
        </w:rPr>
        <w:t xml:space="preserve">and </w:t>
      </w:r>
      <w:r w:rsidR="00B15071">
        <w:rPr>
          <w:rFonts w:cs="Arial"/>
        </w:rPr>
        <w:t xml:space="preserve">the </w:t>
      </w:r>
      <w:r w:rsidR="00705CCF">
        <w:rPr>
          <w:rFonts w:cs="Arial"/>
        </w:rPr>
        <w:t xml:space="preserve">potential </w:t>
      </w:r>
      <w:r w:rsidR="00B15071">
        <w:rPr>
          <w:rFonts w:cs="Arial"/>
        </w:rPr>
        <w:t xml:space="preserve">for </w:t>
      </w:r>
      <w:r w:rsidR="00705CCF">
        <w:rPr>
          <w:rFonts w:cs="Arial"/>
        </w:rPr>
        <w:t>unintended effects</w:t>
      </w:r>
      <w:r w:rsidR="008C4B86">
        <w:rPr>
          <w:rStyle w:val="FootnoteReference"/>
          <w:rFonts w:cs="Arial"/>
        </w:rPr>
        <w:footnoteReference w:id="3"/>
      </w:r>
      <w:r w:rsidR="00CC7484">
        <w:rPr>
          <w:rFonts w:cs="Arial"/>
        </w:rPr>
        <w:t>.</w:t>
      </w:r>
    </w:p>
    <w:p w:rsidR="00980F0C" w:rsidRDefault="00086718" w:rsidP="00D03993">
      <w:pPr>
        <w:pStyle w:val="Heading2"/>
      </w:pPr>
      <w:bookmarkStart w:id="3" w:name="_Toc350235765"/>
      <w:r>
        <w:rPr>
          <w:rFonts w:eastAsiaTheme="minorHAnsi"/>
        </w:rPr>
        <w:t xml:space="preserve">DISCUSSION OF THE </w:t>
      </w:r>
      <w:r w:rsidR="009134AE">
        <w:t>TECHNIQUES</w:t>
      </w:r>
      <w:bookmarkEnd w:id="3"/>
    </w:p>
    <w:p w:rsidR="00CB5A11" w:rsidRDefault="00CB5A11" w:rsidP="00D2491D">
      <w:pPr>
        <w:pStyle w:val="Heading3"/>
      </w:pPr>
      <w:bookmarkStart w:id="4" w:name="_Toc350235766"/>
      <w:r>
        <w:t>Seed Production Technology</w:t>
      </w:r>
      <w:bookmarkEnd w:id="4"/>
    </w:p>
    <w:p w:rsidR="00CB5A11" w:rsidRDefault="00652381" w:rsidP="00CB5A11">
      <w:pPr>
        <w:pStyle w:val="Heading5"/>
      </w:pPr>
      <w:r>
        <w:t xml:space="preserve">Overview </w:t>
      </w:r>
      <w:r w:rsidR="00CB5A11">
        <w:t>of the technique</w:t>
      </w:r>
    </w:p>
    <w:p w:rsidR="00BA03D7" w:rsidRDefault="00BA03D7" w:rsidP="00737F4A">
      <w:r>
        <w:t xml:space="preserve">Seed production </w:t>
      </w:r>
      <w:r w:rsidR="000B3A7E">
        <w:t xml:space="preserve">technology </w:t>
      </w:r>
      <w:r w:rsidR="008F3DBB">
        <w:t xml:space="preserve">(SPT) </w:t>
      </w:r>
      <w:r w:rsidR="001715B5">
        <w:t xml:space="preserve">is a proprietary technique </w:t>
      </w:r>
      <w:r w:rsidR="000B3A7E">
        <w:t xml:space="preserve">developed </w:t>
      </w:r>
      <w:r w:rsidR="001715B5">
        <w:t xml:space="preserve">by Pioneer Hi-Bred International (Pioneer) </w:t>
      </w:r>
      <w:r w:rsidR="000B3A7E">
        <w:t>to</w:t>
      </w:r>
      <w:r w:rsidR="00706814">
        <w:t xml:space="preserve"> </w:t>
      </w:r>
      <w:r w:rsidR="000B3A7E">
        <w:t>facilitate</w:t>
      </w:r>
      <w:r w:rsidR="00706814">
        <w:t xml:space="preserve"> the production of </w:t>
      </w:r>
      <w:r w:rsidR="001116DE">
        <w:t>hybrid seed</w:t>
      </w:r>
      <w:r w:rsidR="00F5039C">
        <w:t xml:space="preserve"> in corn</w:t>
      </w:r>
      <w:r w:rsidR="00706814">
        <w:t xml:space="preserve">. </w:t>
      </w:r>
      <w:r w:rsidR="00EF6B7D">
        <w:t xml:space="preserve">A hybrid is the result of a cross between two genetically distinct </w:t>
      </w:r>
      <w:r w:rsidR="0088178C">
        <w:t>inbred plant</w:t>
      </w:r>
      <w:r w:rsidR="00EF6B7D">
        <w:t xml:space="preserve"> lines. </w:t>
      </w:r>
      <w:r w:rsidR="00037DD2">
        <w:t>I</w:t>
      </w:r>
      <w:r w:rsidR="0088178C">
        <w:t>nbred parent lines are produced by successive rounds of self-</w:t>
      </w:r>
      <w:r w:rsidR="008D69BC">
        <w:t>pollination</w:t>
      </w:r>
      <w:r w:rsidR="00E17AFE">
        <w:t xml:space="preserve"> and are often described as pure breeding lines because every genetic locus </w:t>
      </w:r>
      <w:r w:rsidR="008D69BC">
        <w:t>is</w:t>
      </w:r>
      <w:r w:rsidR="00E17AFE">
        <w:t xml:space="preserve"> homozygous (ie two </w:t>
      </w:r>
      <w:r w:rsidR="000C1607">
        <w:t>identical forms</w:t>
      </w:r>
      <w:r w:rsidR="00E17AFE">
        <w:t xml:space="preserve"> of the same gene)</w:t>
      </w:r>
      <w:r w:rsidR="002D1600">
        <w:t>.</w:t>
      </w:r>
      <w:r w:rsidR="000C1607">
        <w:t xml:space="preserve"> </w:t>
      </w:r>
      <w:r w:rsidR="002D1600">
        <w:t>The</w:t>
      </w:r>
      <w:r w:rsidR="008D69BC">
        <w:t xml:space="preserve"> progeny obtained </w:t>
      </w:r>
      <w:r w:rsidR="002D1600">
        <w:t>from the</w:t>
      </w:r>
      <w:r w:rsidR="008D69BC">
        <w:t xml:space="preserve"> self-pollination </w:t>
      </w:r>
      <w:r w:rsidR="002D1600">
        <w:t xml:space="preserve">of inbred lines </w:t>
      </w:r>
      <w:r w:rsidR="000C1607">
        <w:t xml:space="preserve">will </w:t>
      </w:r>
      <w:r w:rsidR="00037DD2">
        <w:t xml:space="preserve">thus </w:t>
      </w:r>
      <w:r w:rsidR="000C1607">
        <w:t>be identical to the parents</w:t>
      </w:r>
      <w:r w:rsidR="0088178C">
        <w:t xml:space="preserve">. </w:t>
      </w:r>
      <w:r w:rsidR="00EF6B7D">
        <w:t xml:space="preserve">When the right </w:t>
      </w:r>
      <w:r w:rsidR="000C1607">
        <w:t xml:space="preserve">combination of </w:t>
      </w:r>
      <w:r w:rsidR="002D1600">
        <w:t xml:space="preserve">inbred </w:t>
      </w:r>
      <w:r w:rsidR="00EF6B7D">
        <w:t>parent</w:t>
      </w:r>
      <w:r w:rsidR="002D1600">
        <w:t xml:space="preserve"> line</w:t>
      </w:r>
      <w:r w:rsidR="00EF6B7D">
        <w:t xml:space="preserve">s </w:t>
      </w:r>
      <w:r w:rsidR="002E27D1">
        <w:t>is</w:t>
      </w:r>
      <w:r w:rsidR="00EF6B7D">
        <w:t xml:space="preserve"> selected, a </w:t>
      </w:r>
      <w:r w:rsidR="00891ABA">
        <w:t xml:space="preserve">first generation </w:t>
      </w:r>
      <w:r w:rsidR="00EF6B7D">
        <w:t xml:space="preserve">hybrid </w:t>
      </w:r>
      <w:r w:rsidR="00891ABA">
        <w:t xml:space="preserve">(referred to as the F1 hybrid) </w:t>
      </w:r>
      <w:r w:rsidR="00EF6B7D">
        <w:t xml:space="preserve">will </w:t>
      </w:r>
      <w:r w:rsidR="002E27D1">
        <w:t>exhibit</w:t>
      </w:r>
      <w:r w:rsidR="00811479">
        <w:t xml:space="preserve"> </w:t>
      </w:r>
      <w:r w:rsidR="00EF6B7D">
        <w:t>greater yield</w:t>
      </w:r>
      <w:r w:rsidR="008D69BC">
        <w:t>, uniformity</w:t>
      </w:r>
      <w:r w:rsidR="00EF6B7D">
        <w:t xml:space="preserve"> and vigour than either </w:t>
      </w:r>
      <w:r w:rsidR="003103C1">
        <w:t xml:space="preserve">of the </w:t>
      </w:r>
      <w:r w:rsidR="00EF6B7D">
        <w:t>parent</w:t>
      </w:r>
      <w:r w:rsidR="003103C1">
        <w:t>s</w:t>
      </w:r>
      <w:r w:rsidR="00EF6B7D">
        <w:t xml:space="preserve"> and in some cases may also </w:t>
      </w:r>
      <w:r w:rsidR="00686C6C">
        <w:t>exhibit</w:t>
      </w:r>
      <w:r w:rsidR="00EF6B7D">
        <w:t xml:space="preserve"> greater disease and </w:t>
      </w:r>
      <w:r w:rsidR="00F63B3B">
        <w:t xml:space="preserve">insect </w:t>
      </w:r>
      <w:r w:rsidR="00EF6B7D">
        <w:t>resistance.</w:t>
      </w:r>
      <w:r w:rsidR="003055F7">
        <w:t xml:space="preserve"> </w:t>
      </w:r>
      <w:r w:rsidR="00811479">
        <w:t xml:space="preserve">This </w:t>
      </w:r>
      <w:r w:rsidR="00037DD2">
        <w:t>phenomenon is</w:t>
      </w:r>
      <w:r w:rsidR="00811479">
        <w:t xml:space="preserve"> referred to as ‘hybrid vigour’. </w:t>
      </w:r>
      <w:r w:rsidR="003055F7">
        <w:t xml:space="preserve">The use of </w:t>
      </w:r>
      <w:r w:rsidR="00891ABA">
        <w:t xml:space="preserve">F1 </w:t>
      </w:r>
      <w:r w:rsidR="003055F7">
        <w:t xml:space="preserve">hybrids has </w:t>
      </w:r>
      <w:r w:rsidR="009F34C8">
        <w:t>significantly</w:t>
      </w:r>
      <w:r w:rsidR="003055F7">
        <w:t xml:space="preserve"> improv</w:t>
      </w:r>
      <w:r w:rsidR="009F34C8">
        <w:t>ed</w:t>
      </w:r>
      <w:r w:rsidR="003055F7">
        <w:t xml:space="preserve"> corn production and is </w:t>
      </w:r>
      <w:r w:rsidR="008F3DBB">
        <w:t>also</w:t>
      </w:r>
      <w:r w:rsidR="003055F7">
        <w:t xml:space="preserve"> </w:t>
      </w:r>
      <w:r w:rsidR="009F34C8">
        <w:t xml:space="preserve">being </w:t>
      </w:r>
      <w:r w:rsidR="003055F7">
        <w:t xml:space="preserve">widely used in number of other cropping systems eg </w:t>
      </w:r>
      <w:r w:rsidR="00811479">
        <w:t xml:space="preserve">other </w:t>
      </w:r>
      <w:r w:rsidR="003055F7">
        <w:t>cereal crops, cotton, canola</w:t>
      </w:r>
      <w:r w:rsidR="002D1600">
        <w:t xml:space="preserve">, </w:t>
      </w:r>
      <w:r w:rsidR="006E3C37">
        <w:t>and various horticulture crops</w:t>
      </w:r>
      <w:r w:rsidR="003055F7">
        <w:t xml:space="preserve">. </w:t>
      </w:r>
    </w:p>
    <w:p w:rsidR="00BA03D7" w:rsidRDefault="00BA03D7" w:rsidP="00737F4A"/>
    <w:p w:rsidR="008F3DBB" w:rsidRDefault="008F3DBB" w:rsidP="00737F4A">
      <w:r>
        <w:t xml:space="preserve">For hybrid production to be successful it requires the prevention of self-pollination in one of the </w:t>
      </w:r>
      <w:r w:rsidR="00BE179F">
        <w:t xml:space="preserve">inbred </w:t>
      </w:r>
      <w:r>
        <w:t xml:space="preserve">parent lines (referred to as the </w:t>
      </w:r>
      <w:r w:rsidR="006E3C37">
        <w:t>‘</w:t>
      </w:r>
      <w:r>
        <w:t>male sterile</w:t>
      </w:r>
      <w:r w:rsidR="006E3C37">
        <w:t>’</w:t>
      </w:r>
      <w:r>
        <w:t xml:space="preserve"> or </w:t>
      </w:r>
      <w:r w:rsidR="006E3C37">
        <w:t>‘</w:t>
      </w:r>
      <w:r>
        <w:t>female</w:t>
      </w:r>
      <w:r w:rsidR="006E3C37">
        <w:t>’</w:t>
      </w:r>
      <w:r>
        <w:t xml:space="preserve"> line), </w:t>
      </w:r>
      <w:r w:rsidR="00F169BF">
        <w:t xml:space="preserve">to </w:t>
      </w:r>
      <w:r>
        <w:t>ensur</w:t>
      </w:r>
      <w:r w:rsidR="00F169BF">
        <w:t>e</w:t>
      </w:r>
      <w:r>
        <w:t xml:space="preserve"> pollination is only by the other </w:t>
      </w:r>
      <w:r w:rsidR="00BE179F">
        <w:t xml:space="preserve">(inbred) </w:t>
      </w:r>
      <w:r>
        <w:t xml:space="preserve">parent line. </w:t>
      </w:r>
      <w:r w:rsidR="00866782">
        <w:t xml:space="preserve">The most common method </w:t>
      </w:r>
      <w:r w:rsidR="00FF5916">
        <w:t xml:space="preserve">used commercially </w:t>
      </w:r>
      <w:r w:rsidR="00866782">
        <w:t xml:space="preserve">to prevent self pollination is emasculation through the mechanical removal of the </w:t>
      </w:r>
      <w:r w:rsidR="001F1E96">
        <w:t>male flowers</w:t>
      </w:r>
      <w:r w:rsidR="00866782">
        <w:t xml:space="preserve">. In corn, </w:t>
      </w:r>
      <w:r w:rsidR="00377BA1">
        <w:t xml:space="preserve">the male flowers </w:t>
      </w:r>
      <w:r w:rsidR="00DE0232">
        <w:t>(tassels)</w:t>
      </w:r>
      <w:r w:rsidR="00644899">
        <w:t>, located</w:t>
      </w:r>
      <w:r w:rsidR="00DE0232">
        <w:t xml:space="preserve"> at the</w:t>
      </w:r>
      <w:r w:rsidR="002169B6">
        <w:t xml:space="preserve"> top </w:t>
      </w:r>
      <w:r w:rsidR="00DE0232">
        <w:t>most part</w:t>
      </w:r>
      <w:r w:rsidR="002169B6">
        <w:t xml:space="preserve"> of the plant</w:t>
      </w:r>
      <w:r w:rsidR="00377BA1">
        <w:t xml:space="preserve">, </w:t>
      </w:r>
      <w:r w:rsidR="00644899">
        <w:t>are</w:t>
      </w:r>
      <w:r w:rsidR="00377BA1">
        <w:t xml:space="preserve"> </w:t>
      </w:r>
      <w:r w:rsidR="008710B9">
        <w:t>remov</w:t>
      </w:r>
      <w:r w:rsidR="00644899">
        <w:t>ed by a</w:t>
      </w:r>
      <w:r w:rsidR="008710B9">
        <w:t xml:space="preserve"> </w:t>
      </w:r>
      <w:r w:rsidR="00A35A1C">
        <w:t xml:space="preserve">laborious </w:t>
      </w:r>
      <w:r w:rsidR="00377BA1">
        <w:t xml:space="preserve">process called </w:t>
      </w:r>
      <w:r w:rsidR="00807CE3">
        <w:t>‘detasseling’.</w:t>
      </w:r>
      <w:r w:rsidR="00FF5916">
        <w:t xml:space="preserve"> While effective, detasseling </w:t>
      </w:r>
      <w:r w:rsidR="00FF5916" w:rsidRPr="00FF5916">
        <w:t>is not completely reliable</w:t>
      </w:r>
      <w:r w:rsidR="00644899">
        <w:rPr>
          <w:rStyle w:val="FootnoteReference"/>
        </w:rPr>
        <w:footnoteReference w:id="4"/>
      </w:r>
      <w:r w:rsidR="00DE0232">
        <w:t xml:space="preserve"> </w:t>
      </w:r>
      <w:r w:rsidR="00FF5916" w:rsidRPr="00FF5916">
        <w:t>and in some cases can result in significant reductions in seed yield due to mechanical damage to the plants.</w:t>
      </w:r>
      <w:r w:rsidR="00FF5916">
        <w:t xml:space="preserve"> </w:t>
      </w:r>
      <w:r w:rsidR="00D85EC0">
        <w:t>The use of plant lines that are genetically male sterile is an alternative approach that can be used however a major limitation is that propagation of male-sterile lines is time consuming and complex as self-pollination cannot be used.</w:t>
      </w:r>
    </w:p>
    <w:p w:rsidR="008F3DBB" w:rsidRDefault="008F3DBB" w:rsidP="00737F4A"/>
    <w:p w:rsidR="00706814" w:rsidRDefault="00706814" w:rsidP="00706814">
      <w:r>
        <w:t>SPT</w:t>
      </w:r>
      <w:r w:rsidR="001715B5">
        <w:t xml:space="preserve"> </w:t>
      </w:r>
      <w:r w:rsidR="00737F4A">
        <w:t xml:space="preserve">involves </w:t>
      </w:r>
      <w:r w:rsidR="00BE179F">
        <w:t xml:space="preserve">a </w:t>
      </w:r>
      <w:r w:rsidR="00737F4A">
        <w:t xml:space="preserve">GM </w:t>
      </w:r>
      <w:r w:rsidR="00BE179F">
        <w:t xml:space="preserve">process </w:t>
      </w:r>
      <w:r w:rsidR="00737F4A">
        <w:t xml:space="preserve">to facilitate </w:t>
      </w:r>
      <w:r w:rsidR="00E725E4">
        <w:t xml:space="preserve">the </w:t>
      </w:r>
      <w:r w:rsidR="00A35A1C">
        <w:t>maintenance</w:t>
      </w:r>
      <w:r w:rsidR="00737F4A">
        <w:t xml:space="preserve"> of male-sterile inbred line</w:t>
      </w:r>
      <w:r w:rsidR="00E725E4">
        <w:t xml:space="preserve">s </w:t>
      </w:r>
      <w:r w:rsidR="0084184A">
        <w:t>for use</w:t>
      </w:r>
      <w:r w:rsidR="00E725E4">
        <w:t xml:space="preserve"> in hybrid seed production</w:t>
      </w:r>
      <w:r w:rsidR="00737F4A">
        <w:t xml:space="preserve">. </w:t>
      </w:r>
      <w:r w:rsidR="001715B5">
        <w:t xml:space="preserve">Although initially developed </w:t>
      </w:r>
      <w:r w:rsidR="00A35A1C">
        <w:t>for</w:t>
      </w:r>
      <w:r w:rsidR="001715B5">
        <w:t xml:space="preserve"> use in corn, </w:t>
      </w:r>
      <w:r>
        <w:t xml:space="preserve">SPT is </w:t>
      </w:r>
      <w:r w:rsidR="009B4EA4">
        <w:t xml:space="preserve">potentially </w:t>
      </w:r>
      <w:r>
        <w:t xml:space="preserve">applicable to </w:t>
      </w:r>
      <w:r w:rsidR="001715B5">
        <w:t xml:space="preserve">a number of other </w:t>
      </w:r>
      <w:r>
        <w:t>species</w:t>
      </w:r>
      <w:r w:rsidR="00CD36BC">
        <w:t xml:space="preserve">. </w:t>
      </w:r>
      <w:r>
        <w:t xml:space="preserve"> </w:t>
      </w:r>
      <w:r w:rsidR="001715B5">
        <w:t>For example, a</w:t>
      </w:r>
      <w:r>
        <w:t xml:space="preserve"> similar system in rice</w:t>
      </w:r>
      <w:r w:rsidR="00CD36BC">
        <w:t xml:space="preserve"> is close to commercia</w:t>
      </w:r>
      <w:r w:rsidR="009B4EA4">
        <w:t>lisation and t</w:t>
      </w:r>
      <w:r>
        <w:t xml:space="preserve">he Australian Centre for Plant Functional Genomics is </w:t>
      </w:r>
      <w:r w:rsidR="009B4EA4">
        <w:t xml:space="preserve">currently </w:t>
      </w:r>
      <w:r w:rsidR="0066460E">
        <w:t xml:space="preserve">investigating </w:t>
      </w:r>
      <w:r w:rsidR="009B4EA4">
        <w:t>its use in</w:t>
      </w:r>
      <w:r>
        <w:t xml:space="preserve"> wheat.</w:t>
      </w:r>
      <w:r w:rsidR="00DE0232">
        <w:t xml:space="preserve"> </w:t>
      </w:r>
    </w:p>
    <w:p w:rsidR="00706814" w:rsidRDefault="00706814" w:rsidP="00706814"/>
    <w:p w:rsidR="004D3E64" w:rsidRDefault="00BE179F" w:rsidP="00EB0B3F">
      <w:r w:rsidRPr="00CD1E9F">
        <w:t xml:space="preserve">In contrast to the mechanical method of creating a male-sterile </w:t>
      </w:r>
      <w:r w:rsidR="002233E7">
        <w:t xml:space="preserve">(female) </w:t>
      </w:r>
      <w:r w:rsidRPr="00CD1E9F">
        <w:t xml:space="preserve">inbred line, </w:t>
      </w:r>
      <w:r>
        <w:t>t</w:t>
      </w:r>
      <w:r w:rsidR="00A976A1">
        <w:t xml:space="preserve">he SPT system </w:t>
      </w:r>
      <w:r w:rsidR="00CD1E9F">
        <w:t>uses GM methods to enable the male sterile line to be propagated by self-pollination. This is achieved by transforming a male sterile inbred (female) line (</w:t>
      </w:r>
      <w:r w:rsidR="00CD1E9F" w:rsidRPr="00CD1E9F">
        <w:rPr>
          <w:i/>
        </w:rPr>
        <w:t>ms45/ms45</w:t>
      </w:r>
      <w:r w:rsidR="00CD1E9F">
        <w:t xml:space="preserve">) with three genes: </w:t>
      </w:r>
      <w:r w:rsidR="00F118D1">
        <w:t>a fertility restorer gene (</w:t>
      </w:r>
      <w:r w:rsidR="00F118D1" w:rsidRPr="00F118D1">
        <w:rPr>
          <w:i/>
        </w:rPr>
        <w:t>Ms45</w:t>
      </w:r>
      <w:r w:rsidR="00F118D1">
        <w:t>)</w:t>
      </w:r>
      <w:r w:rsidR="006E3C37">
        <w:t>;</w:t>
      </w:r>
      <w:r w:rsidR="00F118D1">
        <w:t xml:space="preserve"> an anther</w:t>
      </w:r>
      <w:r w:rsidR="00A14FA7">
        <w:t>-</w:t>
      </w:r>
      <w:r w:rsidR="00F118D1">
        <w:t>specific amylase gene (</w:t>
      </w:r>
      <w:r w:rsidR="00F118D1" w:rsidRPr="00F118D1">
        <w:rPr>
          <w:i/>
        </w:rPr>
        <w:t>zm-aa1</w:t>
      </w:r>
      <w:r w:rsidR="00F118D1">
        <w:t>)</w:t>
      </w:r>
      <w:r w:rsidR="006E3C37">
        <w:t>;</w:t>
      </w:r>
      <w:r w:rsidR="00F118D1">
        <w:t xml:space="preserve"> and a seed</w:t>
      </w:r>
      <w:r w:rsidR="00652381">
        <w:t>-</w:t>
      </w:r>
      <w:r w:rsidR="00F118D1">
        <w:t xml:space="preserve">specific </w:t>
      </w:r>
      <w:r w:rsidR="00EB0B3F">
        <w:t xml:space="preserve">fluorescent </w:t>
      </w:r>
      <w:r w:rsidR="00F118D1">
        <w:t xml:space="preserve">colour marker </w:t>
      </w:r>
      <w:r w:rsidR="00A14FA7">
        <w:t xml:space="preserve">gene </w:t>
      </w:r>
      <w:r w:rsidR="00F118D1">
        <w:t>(</w:t>
      </w:r>
      <w:r w:rsidR="00F118D1" w:rsidRPr="00F118D1">
        <w:rPr>
          <w:i/>
        </w:rPr>
        <w:t>DsRed2</w:t>
      </w:r>
      <w:r w:rsidR="00F118D1">
        <w:t>).</w:t>
      </w:r>
      <w:r w:rsidR="006769D4">
        <w:t xml:space="preserve"> </w:t>
      </w:r>
      <w:r w:rsidR="00CD1E9F" w:rsidRPr="00CD1E9F">
        <w:t xml:space="preserve">The </w:t>
      </w:r>
      <w:r w:rsidR="00CD1E9F">
        <w:t xml:space="preserve">resulting line, possessing single copies of all three genes, </w:t>
      </w:r>
      <w:r w:rsidR="00CD1E9F" w:rsidRPr="00CD1E9F">
        <w:t>is known as the GM maintainer line.</w:t>
      </w:r>
      <w:r w:rsidR="0023175B">
        <w:t xml:space="preserve"> </w:t>
      </w:r>
      <w:r w:rsidR="00F1793E">
        <w:t>Expression of a single copy of the</w:t>
      </w:r>
      <w:r w:rsidR="006E3C37">
        <w:t xml:space="preserve"> fertility restorer</w:t>
      </w:r>
      <w:r w:rsidR="00F1793E">
        <w:t xml:space="preserve"> </w:t>
      </w:r>
      <w:r w:rsidR="006E3C37">
        <w:t>(</w:t>
      </w:r>
      <w:r w:rsidR="00F1793E" w:rsidRPr="00F1793E">
        <w:rPr>
          <w:i/>
        </w:rPr>
        <w:t>Ms45</w:t>
      </w:r>
      <w:r w:rsidR="006E3C37">
        <w:t xml:space="preserve">) </w:t>
      </w:r>
      <w:r w:rsidR="00F1793E">
        <w:t xml:space="preserve">gene in the </w:t>
      </w:r>
      <w:r w:rsidR="00F1793E" w:rsidRPr="00F1793E">
        <w:rPr>
          <w:i/>
        </w:rPr>
        <w:t>ms45/ms45</w:t>
      </w:r>
      <w:r w:rsidR="00F1793E">
        <w:t xml:space="preserve"> </w:t>
      </w:r>
      <w:r w:rsidR="00E54741">
        <w:t xml:space="preserve">(homozygous recessive) </w:t>
      </w:r>
      <w:r w:rsidR="00F1793E">
        <w:t xml:space="preserve">genetic background restores male fertility and enables pollen production by the </w:t>
      </w:r>
      <w:r w:rsidR="006E3C37">
        <w:t xml:space="preserve">GM </w:t>
      </w:r>
      <w:r w:rsidR="00F1793E">
        <w:t>maintainer line.</w:t>
      </w:r>
      <w:r w:rsidR="00A21AA4">
        <w:t xml:space="preserve"> </w:t>
      </w:r>
    </w:p>
    <w:p w:rsidR="00AC3A1B" w:rsidRDefault="00AC3A1B" w:rsidP="00EB0B3F"/>
    <w:p w:rsidR="00A831A1" w:rsidRDefault="00A21AA4" w:rsidP="00EB0B3F">
      <w:r>
        <w:t>However, e</w:t>
      </w:r>
      <w:r w:rsidR="00A14FA7">
        <w:t>xpression of t</w:t>
      </w:r>
      <w:r w:rsidR="00F462EE">
        <w:t xml:space="preserve">he amylase gene </w:t>
      </w:r>
      <w:r>
        <w:t xml:space="preserve">in the anther </w:t>
      </w:r>
      <w:r w:rsidR="000A61C8">
        <w:t xml:space="preserve">results in the depletion of starch which deprives the pollen of the energy reserves it needs for successful pollen </w:t>
      </w:r>
      <w:r w:rsidR="00BF1F99">
        <w:t>germination</w:t>
      </w:r>
      <w:r w:rsidR="000A61C8">
        <w:t xml:space="preserve"> and fertilisation. This </w:t>
      </w:r>
      <w:r w:rsidR="00F462EE">
        <w:t xml:space="preserve">ensures that any pollen containing the transgenes </w:t>
      </w:r>
      <w:r w:rsidR="009B4EA4">
        <w:t xml:space="preserve">(50%) </w:t>
      </w:r>
      <w:r w:rsidR="00A831A1">
        <w:t xml:space="preserve">will be </w:t>
      </w:r>
      <w:r w:rsidR="00F462EE">
        <w:t>infertile</w:t>
      </w:r>
      <w:r w:rsidR="009B4EA4">
        <w:t>.</w:t>
      </w:r>
      <w:r w:rsidR="00F462EE">
        <w:t xml:space="preserve"> </w:t>
      </w:r>
      <w:r w:rsidR="006A3187">
        <w:t>The remaining 50% of the p</w:t>
      </w:r>
      <w:r w:rsidR="00F462EE">
        <w:t>ollen</w:t>
      </w:r>
      <w:r w:rsidR="006A3187">
        <w:t>, which</w:t>
      </w:r>
      <w:r w:rsidR="00F462EE">
        <w:t xml:space="preserve"> </w:t>
      </w:r>
      <w:r w:rsidR="006A3187">
        <w:t xml:space="preserve">lacks </w:t>
      </w:r>
      <w:r w:rsidR="009B4EA4">
        <w:t xml:space="preserve">the </w:t>
      </w:r>
      <w:r w:rsidR="00373714">
        <w:t xml:space="preserve">amylase </w:t>
      </w:r>
      <w:r w:rsidR="00037DD2">
        <w:t>and other trans</w:t>
      </w:r>
      <w:r w:rsidR="00373714">
        <w:t>gene</w:t>
      </w:r>
      <w:r w:rsidR="00037DD2">
        <w:t>s</w:t>
      </w:r>
      <w:r w:rsidR="006A3187">
        <w:t>,</w:t>
      </w:r>
      <w:r w:rsidR="009B4EA4">
        <w:t xml:space="preserve"> will be fertile</w:t>
      </w:r>
      <w:r w:rsidR="00F462EE">
        <w:t>.</w:t>
      </w:r>
    </w:p>
    <w:p w:rsidR="00BF1F99" w:rsidRDefault="00BF1F99" w:rsidP="00EB0B3F"/>
    <w:p w:rsidR="00AC3A1B" w:rsidRDefault="00AC3A1B">
      <w:pPr>
        <w:spacing w:after="200" w:line="276" w:lineRule="auto"/>
      </w:pPr>
      <w:r>
        <w:br w:type="page"/>
      </w:r>
    </w:p>
    <w:p w:rsidR="004F6A91" w:rsidRDefault="00BF1F99" w:rsidP="004F6A91">
      <w:r>
        <w:t xml:space="preserve">The fluorescent colour marker is linked to the other two transgenes and confers a pinkish red phenotype </w:t>
      </w:r>
      <w:r w:rsidR="00F97794">
        <w:t xml:space="preserve">(visible by eye) </w:t>
      </w:r>
      <w:r>
        <w:t>to any seed expressing the SPT cassette.</w:t>
      </w:r>
      <w:r w:rsidR="00AE04B5">
        <w:t xml:space="preserve"> The DsRed2 protein </w:t>
      </w:r>
      <w:r w:rsidR="00F97794">
        <w:t xml:space="preserve">also </w:t>
      </w:r>
      <w:r w:rsidR="00AE04B5">
        <w:t xml:space="preserve">emits a strong red fluorescence under appropriate illumination so any seeds containing the SPT </w:t>
      </w:r>
      <w:r w:rsidR="00693B0E">
        <w:t xml:space="preserve">gene </w:t>
      </w:r>
      <w:r w:rsidR="00AE04B5">
        <w:t>cassette can be readily identified and separated from progeny seeds that do not contain the SPT</w:t>
      </w:r>
      <w:r w:rsidR="00693B0E">
        <w:t xml:space="preserve"> gene</w:t>
      </w:r>
      <w:r w:rsidR="00AE04B5">
        <w:t xml:space="preserve"> cassette.</w:t>
      </w:r>
      <w:r w:rsidR="006D3DF7">
        <w:t xml:space="preserve"> </w:t>
      </w:r>
      <w:r w:rsidR="00A14FA7">
        <w:t xml:space="preserve">Self-pollination of </w:t>
      </w:r>
      <w:r w:rsidR="00EB0B3F">
        <w:t xml:space="preserve">the </w:t>
      </w:r>
      <w:r w:rsidR="000D2D53">
        <w:t xml:space="preserve">GM </w:t>
      </w:r>
      <w:r w:rsidR="00EB0B3F">
        <w:t xml:space="preserve">maintainer line </w:t>
      </w:r>
      <w:r w:rsidR="00AE04B5">
        <w:t xml:space="preserve">therefore </w:t>
      </w:r>
      <w:r w:rsidR="009B4EA4">
        <w:t>produces</w:t>
      </w:r>
      <w:r w:rsidR="00A14FA7">
        <w:t xml:space="preserve"> </w:t>
      </w:r>
      <w:r w:rsidR="00652381">
        <w:t xml:space="preserve">a 1:1 ratio of two different </w:t>
      </w:r>
      <w:r w:rsidR="00AE04B5">
        <w:t xml:space="preserve">types of </w:t>
      </w:r>
      <w:r w:rsidR="00652381">
        <w:t>seed:</w:t>
      </w:r>
      <w:r w:rsidR="006D3DF7">
        <w:t xml:space="preserve"> (i) </w:t>
      </w:r>
      <w:r w:rsidR="00E167AE">
        <w:t>y</w:t>
      </w:r>
      <w:r w:rsidR="00652381">
        <w:t xml:space="preserve">ellow seed, which is non-transgenic; and </w:t>
      </w:r>
      <w:r w:rsidR="006D3DF7">
        <w:t xml:space="preserve">(ii) </w:t>
      </w:r>
      <w:r w:rsidR="009B4EA4">
        <w:t>pink/</w:t>
      </w:r>
      <w:r w:rsidR="00652381">
        <w:t>red seed, which is transgenic</w:t>
      </w:r>
      <w:r w:rsidR="00693B0E">
        <w:t xml:space="preserve"> (Figure 1)</w:t>
      </w:r>
      <w:r w:rsidR="00652381">
        <w:t xml:space="preserve">. </w:t>
      </w:r>
      <w:r w:rsidR="00EB0B3F">
        <w:t xml:space="preserve">The seeds are </w:t>
      </w:r>
      <w:r w:rsidR="009B4EA4">
        <w:t>subjected to</w:t>
      </w:r>
      <w:r w:rsidR="00EB0B3F">
        <w:t xml:space="preserve"> a high-speed fluorescence sorting </w:t>
      </w:r>
      <w:r w:rsidR="00133FC5">
        <w:t xml:space="preserve">process </w:t>
      </w:r>
      <w:r w:rsidR="00EB0B3F">
        <w:t xml:space="preserve">to separate the transgenic </w:t>
      </w:r>
      <w:r w:rsidR="009B4EA4">
        <w:t xml:space="preserve">seed </w:t>
      </w:r>
      <w:r w:rsidR="00EB0B3F">
        <w:t xml:space="preserve">from non-transgenic </w:t>
      </w:r>
      <w:r w:rsidR="009B4EA4">
        <w:t>seed</w:t>
      </w:r>
      <w:r w:rsidR="00EB0B3F">
        <w:t>.</w:t>
      </w:r>
    </w:p>
    <w:p w:rsidR="00693B0E" w:rsidRDefault="00693B0E" w:rsidP="00706814"/>
    <w:p w:rsidR="00037DD2" w:rsidRDefault="00037DD2" w:rsidP="00706814"/>
    <w:p w:rsidR="00037DD2" w:rsidRDefault="00037DD2" w:rsidP="00037DD2">
      <w:pPr>
        <w:jc w:val="center"/>
      </w:pPr>
      <w:r>
        <w:rPr>
          <w:noProof/>
          <w:lang w:eastAsia="en-GB"/>
        </w:rPr>
        <w:drawing>
          <wp:inline distT="0" distB="0" distL="0" distR="0" wp14:anchorId="105FCC32" wp14:editId="4629464C">
            <wp:extent cx="4648200" cy="2962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2962275"/>
                    </a:xfrm>
                    <a:prstGeom prst="rect">
                      <a:avLst/>
                    </a:prstGeom>
                    <a:noFill/>
                    <a:ln>
                      <a:noFill/>
                    </a:ln>
                  </pic:spPr>
                </pic:pic>
              </a:graphicData>
            </a:graphic>
          </wp:inline>
        </w:drawing>
      </w:r>
    </w:p>
    <w:p w:rsidR="00037DD2" w:rsidRDefault="00037DD2" w:rsidP="00037DD2"/>
    <w:p w:rsidR="00037DD2" w:rsidRDefault="00037DD2" w:rsidP="00037DD2">
      <w:r>
        <w:t>Figure 1: Propagation of the GM maintainer line via self-pollination</w:t>
      </w:r>
      <w:r w:rsidR="00535D1B">
        <w:t xml:space="preserve"> (</w:t>
      </w:r>
      <w:r w:rsidR="00F7688D">
        <w:t>Source:</w:t>
      </w:r>
      <w:r w:rsidR="00535D1B">
        <w:t xml:space="preserve"> Pioneer)</w:t>
      </w:r>
      <w:r>
        <w:t>.</w:t>
      </w:r>
    </w:p>
    <w:p w:rsidR="00037DD2" w:rsidRDefault="00037DD2" w:rsidP="00037DD2"/>
    <w:p w:rsidR="00162E6A" w:rsidRDefault="00EB0B3F" w:rsidP="00706814">
      <w:r>
        <w:t xml:space="preserve"> </w:t>
      </w:r>
    </w:p>
    <w:p w:rsidR="00F97794" w:rsidRDefault="00F97794" w:rsidP="00F97794">
      <w:r>
        <w:t xml:space="preserve">Propagation of the non-transgenic male-sterile </w:t>
      </w:r>
      <w:r w:rsidR="002E57A5">
        <w:t>(</w:t>
      </w:r>
      <w:r>
        <w:t>female</w:t>
      </w:r>
      <w:r w:rsidR="002E57A5">
        <w:t>)</w:t>
      </w:r>
      <w:r>
        <w:t xml:space="preserve"> inbred parent line involves planting the GM maintainer line (</w:t>
      </w:r>
      <w:r w:rsidRPr="008A03FC">
        <w:rPr>
          <w:i/>
        </w:rPr>
        <w:t>ms45/ms45</w:t>
      </w:r>
      <w:r>
        <w:t xml:space="preserve">; </w:t>
      </w:r>
      <w:r w:rsidRPr="008A03FC">
        <w:rPr>
          <w:i/>
        </w:rPr>
        <w:t>Ms45</w:t>
      </w:r>
      <w:r>
        <w:t>/-) (red seed) next to rows of the non-transgenic female inbred line (</w:t>
      </w:r>
      <w:r w:rsidRPr="008A03FC">
        <w:rPr>
          <w:i/>
        </w:rPr>
        <w:t>ms45/ms45</w:t>
      </w:r>
      <w:r>
        <w:t xml:space="preserve">). Fertile (non-transgenic) pollen from the GM maintainer line will cross pollinate and fertilise the non-transgenic male-sterile </w:t>
      </w:r>
      <w:r w:rsidR="00D4635E">
        <w:t>(</w:t>
      </w:r>
      <w:r>
        <w:t>female</w:t>
      </w:r>
      <w:r w:rsidR="00D4635E">
        <w:t>)</w:t>
      </w:r>
      <w:r>
        <w:t xml:space="preserve"> inbred line, which will produce only yellow coloured (non-transgenic) seed (Figure 2). Several billion seeds have been screened using the fluorescence sorting process and no transgenic seeds have passed through undetected.</w:t>
      </w:r>
    </w:p>
    <w:p w:rsidR="00162E6A" w:rsidRDefault="00162E6A" w:rsidP="00706814"/>
    <w:p w:rsidR="00A63861" w:rsidRDefault="00A63861" w:rsidP="00A63861">
      <w:r>
        <w:t xml:space="preserve">The yellow (non-transgenic) male sterile seed is then used as the female parent in commercial hybrid seed production which involves sowing it alongside the seed from a non-transgenic male inbred line – the male inbred line will pollinate the non-transgenic male-sterile (female) inbred line which will produce non-transgenic F1 seed, which is then subsequently sold to growers for food/feed production. </w:t>
      </w:r>
    </w:p>
    <w:p w:rsidR="00A63861" w:rsidRDefault="00A63861" w:rsidP="00A63861"/>
    <w:p w:rsidR="00A63861" w:rsidRDefault="00A63861" w:rsidP="00706814"/>
    <w:p w:rsidR="00885767" w:rsidRDefault="00885767" w:rsidP="00D4635E">
      <w:pPr>
        <w:ind w:left="510"/>
      </w:pPr>
      <w:r>
        <w:rPr>
          <w:noProof/>
          <w:lang w:eastAsia="en-GB"/>
        </w:rPr>
        <w:drawing>
          <wp:inline distT="0" distB="0" distL="0" distR="0" wp14:anchorId="387AAAED" wp14:editId="54FC0D5A">
            <wp:extent cx="4838700" cy="3200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3200400"/>
                    </a:xfrm>
                    <a:prstGeom prst="rect">
                      <a:avLst/>
                    </a:prstGeom>
                    <a:noFill/>
                    <a:ln>
                      <a:noFill/>
                    </a:ln>
                  </pic:spPr>
                </pic:pic>
              </a:graphicData>
            </a:graphic>
          </wp:inline>
        </w:drawing>
      </w:r>
    </w:p>
    <w:p w:rsidR="00885767" w:rsidRDefault="008E6D5D" w:rsidP="00706814">
      <w:r>
        <w:t>Figure 2: Propagation of the non-transgenic male-sterile female parent line</w:t>
      </w:r>
      <w:r w:rsidR="005D71A5">
        <w:t xml:space="preserve"> (</w:t>
      </w:r>
      <w:r w:rsidR="00F7688D">
        <w:t>Source:</w:t>
      </w:r>
      <w:r w:rsidR="005D71A5">
        <w:t xml:space="preserve"> Pioneer)</w:t>
      </w:r>
    </w:p>
    <w:p w:rsidR="00885767" w:rsidRDefault="00885767" w:rsidP="00706814"/>
    <w:p w:rsidR="00162E6A" w:rsidRDefault="00162E6A" w:rsidP="00706814"/>
    <w:p w:rsidR="00706814" w:rsidRDefault="00706814" w:rsidP="00706814">
      <w:pPr>
        <w:spacing w:after="200" w:line="276" w:lineRule="auto"/>
      </w:pPr>
      <w:r>
        <w:t>Key points</w:t>
      </w:r>
      <w:r w:rsidR="004D2AE1">
        <w:t>:</w:t>
      </w:r>
    </w:p>
    <w:p w:rsidR="00706814" w:rsidRDefault="00706814" w:rsidP="00DC6F63">
      <w:pPr>
        <w:pStyle w:val="ListParagraph"/>
        <w:numPr>
          <w:ilvl w:val="0"/>
          <w:numId w:val="16"/>
        </w:numPr>
      </w:pPr>
      <w:r>
        <w:t xml:space="preserve">The </w:t>
      </w:r>
      <w:r w:rsidR="00162E6A">
        <w:t xml:space="preserve">GM </w:t>
      </w:r>
      <w:r w:rsidR="00E167AE">
        <w:t>m</w:t>
      </w:r>
      <w:r>
        <w:t xml:space="preserve">aintainer line </w:t>
      </w:r>
      <w:r w:rsidR="00AD73F3">
        <w:t>is required for</w:t>
      </w:r>
      <w:r>
        <w:t xml:space="preserve"> </w:t>
      </w:r>
      <w:r w:rsidR="004D2AE1">
        <w:t>propagat</w:t>
      </w:r>
      <w:r w:rsidR="00AD73F3">
        <w:t xml:space="preserve">ion of the </w:t>
      </w:r>
      <w:r w:rsidR="00162E6A">
        <w:t xml:space="preserve">non-transgenic </w:t>
      </w:r>
      <w:r w:rsidR="00AD73F3">
        <w:t>male sterile inbred line</w:t>
      </w:r>
      <w:r w:rsidR="004D2AE1">
        <w:t>;</w:t>
      </w:r>
    </w:p>
    <w:p w:rsidR="004D2AE1" w:rsidRDefault="004D2AE1" w:rsidP="004D2AE1">
      <w:pPr>
        <w:pStyle w:val="ListParagraph"/>
        <w:ind w:left="360"/>
      </w:pPr>
    </w:p>
    <w:p w:rsidR="004D2AE1" w:rsidRDefault="00AA041F" w:rsidP="00DC6F63">
      <w:pPr>
        <w:pStyle w:val="ListParagraph"/>
        <w:numPr>
          <w:ilvl w:val="0"/>
          <w:numId w:val="16"/>
        </w:numPr>
      </w:pPr>
      <w:r>
        <w:t xml:space="preserve">Neither the inbred parent lines </w:t>
      </w:r>
      <w:r w:rsidR="00E167AE">
        <w:t>n</w:t>
      </w:r>
      <w:r>
        <w:t xml:space="preserve">or the </w:t>
      </w:r>
      <w:r w:rsidR="00E167AE">
        <w:t xml:space="preserve">resulting </w:t>
      </w:r>
      <w:r>
        <w:t xml:space="preserve">hybrid lines </w:t>
      </w:r>
      <w:r w:rsidR="00706814">
        <w:t>should contain any transgenes</w:t>
      </w:r>
      <w:r w:rsidR="004D2AE1">
        <w:t>;</w:t>
      </w:r>
    </w:p>
    <w:p w:rsidR="004D2AE1" w:rsidRDefault="004D2AE1" w:rsidP="004D2AE1">
      <w:pPr>
        <w:pStyle w:val="ListParagraph"/>
      </w:pPr>
    </w:p>
    <w:p w:rsidR="00706814" w:rsidRDefault="00706814" w:rsidP="00DC6F63">
      <w:pPr>
        <w:pStyle w:val="ListParagraph"/>
        <w:numPr>
          <w:ilvl w:val="0"/>
          <w:numId w:val="16"/>
        </w:numPr>
      </w:pPr>
      <w:r>
        <w:t xml:space="preserve">The </w:t>
      </w:r>
      <w:r w:rsidR="00AA041F">
        <w:t xml:space="preserve">integrity of the colour </w:t>
      </w:r>
      <w:r>
        <w:t xml:space="preserve">screening procedure </w:t>
      </w:r>
      <w:r w:rsidR="00AA041F">
        <w:t>is essential for ensuring that transgenic seed is not used in the subsequent breeding step</w:t>
      </w:r>
      <w:r>
        <w:t xml:space="preserve">. </w:t>
      </w:r>
    </w:p>
    <w:p w:rsidR="00CB5A11" w:rsidRDefault="00CB5A11" w:rsidP="00CB5A11">
      <w:pPr>
        <w:pStyle w:val="Heading5"/>
      </w:pPr>
      <w:r>
        <w:t>Panel discussion</w:t>
      </w:r>
    </w:p>
    <w:p w:rsidR="005F5846" w:rsidRDefault="005F5846" w:rsidP="00B94F71">
      <w:r>
        <w:t xml:space="preserve">While the discussion necessarily focussed on the use of SPT in corn, the panel acknowledged that the principle of SPT could be applied to other crop species, particularly cereals (wheat and rice) where </w:t>
      </w:r>
      <w:r w:rsidR="009F60F7">
        <w:t xml:space="preserve">there is a need for better </w:t>
      </w:r>
      <w:r>
        <w:t xml:space="preserve">hybrid systems and where alternative GM methods </w:t>
      </w:r>
      <w:r w:rsidR="006B7E94">
        <w:t>have yet to be developed</w:t>
      </w:r>
      <w:r>
        <w:t>. It was also recognised that in polyploid species</w:t>
      </w:r>
      <w:r w:rsidR="009E40FC">
        <w:t xml:space="preserve"> (such as wheat)</w:t>
      </w:r>
      <w:r>
        <w:t xml:space="preserve"> there may be </w:t>
      </w:r>
      <w:r w:rsidR="006F6900">
        <w:t xml:space="preserve">problems </w:t>
      </w:r>
      <w:r>
        <w:t xml:space="preserve">with </w:t>
      </w:r>
      <w:r w:rsidR="006F6900">
        <w:t xml:space="preserve">expression of the male sterility trait due to </w:t>
      </w:r>
      <w:r>
        <w:t xml:space="preserve">penetrance </w:t>
      </w:r>
      <w:r w:rsidR="006F6900">
        <w:t>issues</w:t>
      </w:r>
      <w:r w:rsidR="009E40FC">
        <w:t>; this would need to be considered for the individual crop.</w:t>
      </w:r>
    </w:p>
    <w:p w:rsidR="005F5846" w:rsidRDefault="005F5846" w:rsidP="00B94F71"/>
    <w:p w:rsidR="009E40FC" w:rsidRDefault="009E40FC" w:rsidP="00B94F71">
      <w:r>
        <w:t>The discussion focussed on the following points:</w:t>
      </w:r>
    </w:p>
    <w:p w:rsidR="001F27CE" w:rsidRDefault="001F27CE" w:rsidP="00B94F71"/>
    <w:p w:rsidR="00B75328" w:rsidRDefault="005141B9" w:rsidP="00DC6F63">
      <w:pPr>
        <w:pStyle w:val="ListParagraph"/>
        <w:numPr>
          <w:ilvl w:val="0"/>
          <w:numId w:val="17"/>
        </w:numPr>
        <w:ind w:left="426" w:hanging="426"/>
      </w:pPr>
      <w:r>
        <w:t>The integrity of the SPT process is dependent on an intact cassette therefore</w:t>
      </w:r>
      <w:r w:rsidR="00DC5F55">
        <w:t xml:space="preserve"> </w:t>
      </w:r>
      <w:r>
        <w:t xml:space="preserve">consideration was given to the potential for the cassette to break up </w:t>
      </w:r>
      <w:r w:rsidR="00DC5F55">
        <w:t xml:space="preserve">and </w:t>
      </w:r>
      <w:r>
        <w:t xml:space="preserve">whether this would allow any of the transgenes to </w:t>
      </w:r>
      <w:r w:rsidR="00ED4325">
        <w:t>“</w:t>
      </w:r>
      <w:r>
        <w:t>leak</w:t>
      </w:r>
      <w:r w:rsidR="00ED4325">
        <w:t>”</w:t>
      </w:r>
      <w:r>
        <w:t xml:space="preserve"> into the food production lines</w:t>
      </w:r>
      <w:r w:rsidR="00DC5F55">
        <w:t xml:space="preserve">. </w:t>
      </w:r>
      <w:r w:rsidR="00F048CE">
        <w:t xml:space="preserve">Inactivation of </w:t>
      </w:r>
      <w:r w:rsidR="00F048CE" w:rsidRPr="00B50122">
        <w:rPr>
          <w:i/>
        </w:rPr>
        <w:t>DsRed</w:t>
      </w:r>
      <w:r w:rsidR="00C2785D">
        <w:rPr>
          <w:i/>
        </w:rPr>
        <w:t>2</w:t>
      </w:r>
      <w:r w:rsidR="00F048CE">
        <w:t xml:space="preserve"> would be detected during propagation of the main</w:t>
      </w:r>
      <w:r w:rsidR="00C2785D">
        <w:t>t</w:t>
      </w:r>
      <w:r w:rsidR="00F048CE">
        <w:t>ainer line and t</w:t>
      </w:r>
      <w:r w:rsidR="006D5417">
        <w:t xml:space="preserve">hose seeds (yellow) discarded. </w:t>
      </w:r>
      <w:r w:rsidR="00F048CE">
        <w:t xml:space="preserve">The only consequence of inactivation of </w:t>
      </w:r>
      <w:r w:rsidR="00F048CE" w:rsidRPr="00B50122">
        <w:rPr>
          <w:i/>
        </w:rPr>
        <w:t>DsRed</w:t>
      </w:r>
      <w:r w:rsidR="00C2785D">
        <w:rPr>
          <w:i/>
        </w:rPr>
        <w:t>2</w:t>
      </w:r>
      <w:r w:rsidR="00F048CE">
        <w:t xml:space="preserve"> </w:t>
      </w:r>
      <w:r w:rsidR="000C3C4B">
        <w:t>would be if it occurred</w:t>
      </w:r>
      <w:r w:rsidR="00F048CE">
        <w:t xml:space="preserve"> in combination with a failure of the </w:t>
      </w:r>
      <w:r w:rsidR="000C3C4B">
        <w:t>amylase gene</w:t>
      </w:r>
      <w:r w:rsidR="00C2785D">
        <w:t xml:space="preserve"> (</w:t>
      </w:r>
      <w:r w:rsidR="00C2785D" w:rsidRPr="00F118D1">
        <w:rPr>
          <w:i/>
        </w:rPr>
        <w:t>zm-aa1</w:t>
      </w:r>
      <w:r w:rsidR="00C2785D">
        <w:rPr>
          <w:i/>
        </w:rPr>
        <w:t>)</w:t>
      </w:r>
      <w:r w:rsidR="000C3C4B">
        <w:t xml:space="preserve"> which would enable the production of </w:t>
      </w:r>
      <w:r w:rsidR="00853140">
        <w:t xml:space="preserve">viable </w:t>
      </w:r>
      <w:r w:rsidR="000C3C4B">
        <w:t xml:space="preserve">pollen containing the transgenes. </w:t>
      </w:r>
      <w:r w:rsidR="00853140">
        <w:t xml:space="preserve">It was noted however that </w:t>
      </w:r>
      <w:r w:rsidR="009D5F2F">
        <w:t xml:space="preserve">if </w:t>
      </w:r>
      <w:r w:rsidR="00853140">
        <w:t xml:space="preserve">there was a double mutation that inactivated both </w:t>
      </w:r>
      <w:r w:rsidR="00853140" w:rsidRPr="00853140">
        <w:rPr>
          <w:i/>
        </w:rPr>
        <w:t>DsRed</w:t>
      </w:r>
      <w:r w:rsidR="00C2785D">
        <w:rPr>
          <w:i/>
        </w:rPr>
        <w:t>2</w:t>
      </w:r>
      <w:r w:rsidR="00853140">
        <w:t xml:space="preserve"> and </w:t>
      </w:r>
      <w:r w:rsidR="00C2785D" w:rsidRPr="00F118D1">
        <w:rPr>
          <w:i/>
        </w:rPr>
        <w:t>zm-aa1</w:t>
      </w:r>
      <w:r w:rsidR="00853140">
        <w:t xml:space="preserve">, this would be detected well before any of the transgenes could be transmitted to the food production lines. </w:t>
      </w:r>
    </w:p>
    <w:p w:rsidR="00B75328" w:rsidRDefault="00B75328" w:rsidP="00B75328">
      <w:pPr>
        <w:pStyle w:val="ListParagraph"/>
        <w:ind w:left="426"/>
      </w:pPr>
    </w:p>
    <w:p w:rsidR="009E40FC" w:rsidRDefault="0097065E" w:rsidP="00DC6F63">
      <w:pPr>
        <w:pStyle w:val="ListParagraph"/>
        <w:numPr>
          <w:ilvl w:val="0"/>
          <w:numId w:val="17"/>
        </w:numPr>
        <w:ind w:left="426" w:hanging="426"/>
      </w:pPr>
      <w:r>
        <w:t>I</w:t>
      </w:r>
      <w:r w:rsidR="00811632">
        <w:t xml:space="preserve">nformation on how tightly linked the three genes </w:t>
      </w:r>
      <w:r w:rsidR="004D2AE1">
        <w:t xml:space="preserve">are </w:t>
      </w:r>
      <w:r w:rsidR="00811632">
        <w:t xml:space="preserve">in the cassette </w:t>
      </w:r>
      <w:r>
        <w:t xml:space="preserve">would be useful for confirming the reliability of the fluorescence sorting as an indicator of the presence/absence of </w:t>
      </w:r>
      <w:r w:rsidRPr="0097065E">
        <w:rPr>
          <w:u w:val="single"/>
        </w:rPr>
        <w:t>all three</w:t>
      </w:r>
      <w:r>
        <w:t xml:space="preserve"> transgenes. It was, how</w:t>
      </w:r>
      <w:r w:rsidR="00C10BE6">
        <w:t xml:space="preserve">ever, </w:t>
      </w:r>
      <w:r w:rsidR="00C2785D">
        <w:t xml:space="preserve">noted </w:t>
      </w:r>
      <w:r w:rsidR="00C10BE6">
        <w:t>that, since the m</w:t>
      </w:r>
      <w:r>
        <w:t xml:space="preserve">aintainer line is screened at each generation, this in itself would limit any build-up of </w:t>
      </w:r>
      <w:r w:rsidR="00BA0869">
        <w:t>recombinants, and therefore the likelihood of any escapes entering the food supply would be extremely small.</w:t>
      </w:r>
      <w:r w:rsidR="00455F30">
        <w:t xml:space="preserve"> It would also be useful to have general compositional information to confirm the equivalence of an F</w:t>
      </w:r>
      <w:r w:rsidR="006D5417">
        <w:t>1</w:t>
      </w:r>
      <w:r w:rsidR="00455F30">
        <w:t xml:space="preserve"> produced through the SPT process with an F</w:t>
      </w:r>
      <w:r w:rsidR="00913B76">
        <w:t>1</w:t>
      </w:r>
      <w:r w:rsidR="00455F30">
        <w:t xml:space="preserve"> produced conventionally.</w:t>
      </w:r>
    </w:p>
    <w:p w:rsidR="001F27CE" w:rsidRDefault="001F27CE" w:rsidP="001F27CE">
      <w:pPr>
        <w:pStyle w:val="ListParagraph"/>
        <w:ind w:left="426"/>
      </w:pPr>
    </w:p>
    <w:p w:rsidR="00025A11" w:rsidRDefault="00CC4356" w:rsidP="00DC6F63">
      <w:pPr>
        <w:pStyle w:val="ListParagraph"/>
        <w:numPr>
          <w:ilvl w:val="0"/>
          <w:numId w:val="22"/>
        </w:numPr>
      </w:pPr>
      <w:r>
        <w:t>There was agreement, in principle, that the F</w:t>
      </w:r>
      <w:r w:rsidR="006D5417">
        <w:t>1</w:t>
      </w:r>
      <w:r>
        <w:t xml:space="preserve"> hybrid produced as a re</w:t>
      </w:r>
      <w:r w:rsidR="00913B76">
        <w:t xml:space="preserve">sult of crossing the SPT inbred </w:t>
      </w:r>
      <w:r>
        <w:t>female line with a non-GM male inbred</w:t>
      </w:r>
      <w:r w:rsidR="00025A11">
        <w:t xml:space="preserve"> line, would be non-transgenic.</w:t>
      </w:r>
      <w:r w:rsidR="00790E64">
        <w:t xml:space="preserve"> On a more pragmatic level it was also noted that </w:t>
      </w:r>
      <w:r w:rsidR="00C51A9D">
        <w:rPr>
          <w:rFonts w:cs="Arial"/>
        </w:rPr>
        <w:t>if food products derived using SPT were regulated as GM foods, it would be impractical, if not impossible, to detect the F</w:t>
      </w:r>
      <w:r w:rsidR="006D5417">
        <w:rPr>
          <w:rFonts w:cs="Arial"/>
        </w:rPr>
        <w:t>1</w:t>
      </w:r>
      <w:r w:rsidR="00C51A9D">
        <w:rPr>
          <w:rFonts w:cs="Arial"/>
        </w:rPr>
        <w:t xml:space="preserve"> hybrid as it would not contain any transgenes. </w:t>
      </w:r>
    </w:p>
    <w:p w:rsidR="00025A11" w:rsidRDefault="00025A11" w:rsidP="00025A11">
      <w:pPr>
        <w:pStyle w:val="ListParagraph"/>
        <w:ind w:left="360"/>
      </w:pPr>
    </w:p>
    <w:p w:rsidR="00455F30" w:rsidRDefault="00025A11" w:rsidP="00DC6F63">
      <w:pPr>
        <w:pStyle w:val="ListParagraph"/>
        <w:numPr>
          <w:ilvl w:val="0"/>
          <w:numId w:val="22"/>
        </w:numPr>
      </w:pPr>
      <w:r>
        <w:t>If</w:t>
      </w:r>
      <w:r w:rsidR="00CC4356">
        <w:t xml:space="preserve"> </w:t>
      </w:r>
      <w:r>
        <w:t xml:space="preserve">the </w:t>
      </w:r>
      <w:r w:rsidR="006D5417">
        <w:t xml:space="preserve">GM </w:t>
      </w:r>
      <w:r>
        <w:t xml:space="preserve">maintainer line was </w:t>
      </w:r>
      <w:r w:rsidR="00CC4356">
        <w:t xml:space="preserve">brought into Australia </w:t>
      </w:r>
      <w:r w:rsidR="003B3BFD">
        <w:t xml:space="preserve">or New Zealand </w:t>
      </w:r>
      <w:r>
        <w:t xml:space="preserve">it </w:t>
      </w:r>
      <w:r w:rsidR="00CC4356">
        <w:t xml:space="preserve">would require authorisation under the </w:t>
      </w:r>
      <w:r w:rsidR="00CC4356" w:rsidRPr="006D5417">
        <w:rPr>
          <w:i/>
        </w:rPr>
        <w:t>Gene Technology Act</w:t>
      </w:r>
      <w:r w:rsidR="00CC4356">
        <w:t xml:space="preserve"> </w:t>
      </w:r>
      <w:r w:rsidR="00CC4356" w:rsidRPr="006D5417">
        <w:rPr>
          <w:i/>
        </w:rPr>
        <w:t>2000</w:t>
      </w:r>
      <w:r w:rsidR="003B3BFD">
        <w:t xml:space="preserve"> or the </w:t>
      </w:r>
      <w:r w:rsidR="003B3BFD" w:rsidRPr="006D5417">
        <w:rPr>
          <w:i/>
        </w:rPr>
        <w:t>Hazardous Substances and New Organisms Act 1996</w:t>
      </w:r>
      <w:r>
        <w:t>, respectively</w:t>
      </w:r>
      <w:r w:rsidR="00D0274B" w:rsidRPr="006D5417">
        <w:rPr>
          <w:i/>
        </w:rPr>
        <w:t>.</w:t>
      </w:r>
      <w:r w:rsidR="00D0274B">
        <w:t xml:space="preserve"> The maintainer line</w:t>
      </w:r>
      <w:r w:rsidR="00CC4356">
        <w:t xml:space="preserve"> </w:t>
      </w:r>
      <w:r w:rsidR="00913B76">
        <w:t xml:space="preserve">is not a commercial product and </w:t>
      </w:r>
      <w:r w:rsidR="00CC4356">
        <w:t xml:space="preserve">would not require regulatory </w:t>
      </w:r>
      <w:r>
        <w:t>approval</w:t>
      </w:r>
      <w:r w:rsidR="00CC4356">
        <w:t xml:space="preserve"> by FSANZ</w:t>
      </w:r>
      <w:r w:rsidR="00D0274B">
        <w:t xml:space="preserve"> </w:t>
      </w:r>
      <w:r w:rsidR="00295AF0">
        <w:t xml:space="preserve">unless it was to be used for food </w:t>
      </w:r>
      <w:r w:rsidR="00D0274B">
        <w:t>h</w:t>
      </w:r>
      <w:r w:rsidR="00CC4356">
        <w:t xml:space="preserve">owever </w:t>
      </w:r>
      <w:r w:rsidR="00D0274B">
        <w:t>the d</w:t>
      </w:r>
      <w:r w:rsidR="00CC4356">
        <w:t xml:space="preserve">eveloper may </w:t>
      </w:r>
      <w:r w:rsidR="00D0274B">
        <w:t xml:space="preserve">opt to </w:t>
      </w:r>
      <w:r w:rsidR="00CC4356">
        <w:t xml:space="preserve">seek </w:t>
      </w:r>
      <w:r w:rsidR="00D0274B">
        <w:t xml:space="preserve">food </w:t>
      </w:r>
      <w:r w:rsidR="00CC4356">
        <w:t xml:space="preserve">approval </w:t>
      </w:r>
      <w:r w:rsidR="00D0274B">
        <w:t>of the line</w:t>
      </w:r>
      <w:r w:rsidR="00CC4356">
        <w:t xml:space="preserve"> </w:t>
      </w:r>
      <w:r w:rsidR="0023175B">
        <w:t>as a precautionary measure</w:t>
      </w:r>
      <w:r w:rsidR="00CC4356">
        <w:t>.</w:t>
      </w:r>
      <w:r w:rsidR="0023175B">
        <w:t xml:space="preserve"> It was noted that the United States Food and Drug Administration has already assessed the </w:t>
      </w:r>
      <w:r w:rsidR="00B86E09">
        <w:t xml:space="preserve">potential </w:t>
      </w:r>
      <w:r w:rsidR="0023175B">
        <w:t>toxicity of</w:t>
      </w:r>
      <w:r w:rsidR="00E518B8">
        <w:t xml:space="preserve"> the colo</w:t>
      </w:r>
      <w:r w:rsidR="00295AF0">
        <w:t xml:space="preserve">ur marker DsRed2 and the ZM-AA1 </w:t>
      </w:r>
      <w:r w:rsidR="00E518B8">
        <w:t>amylase</w:t>
      </w:r>
      <w:r w:rsidR="0023175B">
        <w:t xml:space="preserve"> and determined that the presence of these proteins at low levels in the food supply would not lead to safety concerns.</w:t>
      </w:r>
    </w:p>
    <w:p w:rsidR="00CB5A11" w:rsidRPr="008454C4" w:rsidRDefault="00CB5A11" w:rsidP="00CE314A">
      <w:pPr>
        <w:pStyle w:val="Heading5"/>
        <w:ind w:left="0" w:firstLine="0"/>
      </w:pPr>
      <w:r>
        <w:t xml:space="preserve">Conclusions </w:t>
      </w:r>
    </w:p>
    <w:p w:rsidR="00CB5A11" w:rsidRDefault="001F27CE" w:rsidP="00CB5A11">
      <w:pPr>
        <w:pStyle w:val="NoSpacing"/>
      </w:pPr>
      <w:r>
        <w:t>The panel concluded the following:</w:t>
      </w:r>
    </w:p>
    <w:p w:rsidR="001F27CE" w:rsidRDefault="001F27CE" w:rsidP="00CB5A11">
      <w:pPr>
        <w:pStyle w:val="NoSpacing"/>
      </w:pPr>
    </w:p>
    <w:p w:rsidR="00C524A4" w:rsidRPr="006C0898" w:rsidRDefault="00C524A4" w:rsidP="00DC6F63">
      <w:pPr>
        <w:pStyle w:val="ListParagraph"/>
        <w:numPr>
          <w:ilvl w:val="0"/>
          <w:numId w:val="18"/>
        </w:numPr>
        <w:ind w:left="426" w:hanging="426"/>
      </w:pPr>
      <w:r>
        <w:t xml:space="preserve">Food </w:t>
      </w:r>
      <w:r w:rsidR="00266888">
        <w:rPr>
          <w:rFonts w:cs="Arial"/>
        </w:rPr>
        <w:t xml:space="preserve">produced using </w:t>
      </w:r>
      <w:r w:rsidR="006C0898">
        <w:rPr>
          <w:rFonts w:cs="Arial"/>
        </w:rPr>
        <w:t>SPT</w:t>
      </w:r>
      <w:r w:rsidR="00266888">
        <w:rPr>
          <w:rFonts w:cs="Arial"/>
        </w:rPr>
        <w:t xml:space="preserve"> should not be regarded as GM food as a genetic separation exists between the early GM ancestor </w:t>
      </w:r>
      <w:r w:rsidR="00913B76">
        <w:rPr>
          <w:rFonts w:cs="Arial"/>
        </w:rPr>
        <w:t xml:space="preserve">(the GM maintainer line) </w:t>
      </w:r>
      <w:r w:rsidR="00266888">
        <w:rPr>
          <w:rFonts w:cs="Arial"/>
        </w:rPr>
        <w:t xml:space="preserve">and the </w:t>
      </w:r>
      <w:r w:rsidR="00913B76">
        <w:rPr>
          <w:rFonts w:cs="Arial"/>
        </w:rPr>
        <w:t xml:space="preserve">non-GM </w:t>
      </w:r>
      <w:r w:rsidR="00BB553C">
        <w:rPr>
          <w:rFonts w:cs="Arial"/>
        </w:rPr>
        <w:t xml:space="preserve">parents of the </w:t>
      </w:r>
      <w:r w:rsidR="00266888">
        <w:rPr>
          <w:rFonts w:cs="Arial"/>
        </w:rPr>
        <w:t>final food producing line</w:t>
      </w:r>
      <w:r w:rsidR="006C0898">
        <w:rPr>
          <w:rFonts w:cs="Arial"/>
        </w:rPr>
        <w:t>.</w:t>
      </w:r>
    </w:p>
    <w:p w:rsidR="006C0898" w:rsidRDefault="006C0898" w:rsidP="006C0898">
      <w:pPr>
        <w:pStyle w:val="ListParagraph"/>
        <w:ind w:left="426"/>
      </w:pPr>
    </w:p>
    <w:p w:rsidR="001F27CE" w:rsidRDefault="00C524A4" w:rsidP="00DC6F63">
      <w:pPr>
        <w:pStyle w:val="ListParagraph"/>
        <w:numPr>
          <w:ilvl w:val="0"/>
          <w:numId w:val="18"/>
        </w:numPr>
        <w:ind w:left="426" w:hanging="426"/>
      </w:pPr>
      <w:r>
        <w:t>It</w:t>
      </w:r>
      <w:r w:rsidR="001F27CE">
        <w:t xml:space="preserve"> would be useful to have more information</w:t>
      </w:r>
      <w:r>
        <w:t xml:space="preserve"> </w:t>
      </w:r>
      <w:r w:rsidR="001F27CE">
        <w:t>on the outcomes of any assessment of the likelihood and frequency of the breakup of the cassette</w:t>
      </w:r>
      <w:r w:rsidR="00266888">
        <w:t xml:space="preserve"> as well as </w:t>
      </w:r>
      <w:r w:rsidR="00266888">
        <w:rPr>
          <w:rFonts w:cs="Arial"/>
        </w:rPr>
        <w:t>g</w:t>
      </w:r>
      <w:r w:rsidR="00266888">
        <w:t>eneral compositional analyses confirming the equivalence of an F</w:t>
      </w:r>
      <w:r w:rsidR="006D5417">
        <w:t>1</w:t>
      </w:r>
      <w:r w:rsidR="00266888">
        <w:t xml:space="preserve"> produced via SPT with a </w:t>
      </w:r>
      <w:r w:rsidR="006D5417">
        <w:t>standard</w:t>
      </w:r>
      <w:r w:rsidR="00266888">
        <w:t xml:space="preserve"> F</w:t>
      </w:r>
      <w:r w:rsidR="006D5417">
        <w:t>1</w:t>
      </w:r>
      <w:r w:rsidR="001F27CE">
        <w:t xml:space="preserve">. </w:t>
      </w:r>
    </w:p>
    <w:p w:rsidR="001F27CE" w:rsidRDefault="001F27CE" w:rsidP="001F27CE"/>
    <w:p w:rsidR="005643EE" w:rsidRPr="00FD24AC" w:rsidRDefault="001F27CE" w:rsidP="00DC6F63">
      <w:pPr>
        <w:pStyle w:val="ListParagraph"/>
        <w:numPr>
          <w:ilvl w:val="0"/>
          <w:numId w:val="18"/>
        </w:numPr>
        <w:ind w:left="426" w:hanging="426"/>
        <w:rPr>
          <w:rFonts w:cs="Arial"/>
        </w:rPr>
      </w:pPr>
      <w:r>
        <w:t>If the SPT system were to be deployed in crops that were</w:t>
      </w:r>
      <w:r w:rsidR="00F603BB">
        <w:t xml:space="preserve"> to be grown in </w:t>
      </w:r>
      <w:r w:rsidR="003B3BFD">
        <w:t xml:space="preserve">either </w:t>
      </w:r>
      <w:r w:rsidR="00F603BB">
        <w:t>Australia</w:t>
      </w:r>
      <w:r w:rsidR="003B3BFD">
        <w:t xml:space="preserve"> or New Zealand</w:t>
      </w:r>
      <w:r w:rsidR="00F603BB">
        <w:t xml:space="preserve">, the </w:t>
      </w:r>
      <w:r w:rsidR="006D5417">
        <w:t xml:space="preserve">GM </w:t>
      </w:r>
      <w:r w:rsidR="00F603BB">
        <w:t>m</w:t>
      </w:r>
      <w:r>
        <w:t xml:space="preserve">aintainer </w:t>
      </w:r>
      <w:r w:rsidR="00F603BB">
        <w:t xml:space="preserve">line </w:t>
      </w:r>
      <w:r>
        <w:t xml:space="preserve">would require </w:t>
      </w:r>
      <w:r w:rsidR="00CE314A">
        <w:t>authorisation</w:t>
      </w:r>
      <w:r w:rsidR="003B3BFD">
        <w:t xml:space="preserve"> for environmental release</w:t>
      </w:r>
      <w:r>
        <w:t>.</w:t>
      </w:r>
      <w:r w:rsidR="005643EE">
        <w:t xml:space="preserve"> </w:t>
      </w:r>
      <w:r w:rsidR="005643EE">
        <w:rPr>
          <w:rFonts w:cs="Arial"/>
        </w:rPr>
        <w:t>The</w:t>
      </w:r>
      <w:r w:rsidR="005643EE" w:rsidRPr="005643EE">
        <w:rPr>
          <w:rFonts w:cs="Arial"/>
        </w:rPr>
        <w:t xml:space="preserve"> </w:t>
      </w:r>
      <w:r w:rsidR="00FD24AC">
        <w:rPr>
          <w:rFonts w:cs="Arial"/>
        </w:rPr>
        <w:t>d</w:t>
      </w:r>
      <w:r w:rsidR="005643EE" w:rsidRPr="005643EE">
        <w:rPr>
          <w:rFonts w:cs="Arial"/>
        </w:rPr>
        <w:t xml:space="preserve">eveloper may wish to </w:t>
      </w:r>
      <w:r w:rsidR="00CF089C">
        <w:rPr>
          <w:rFonts w:cs="Arial"/>
        </w:rPr>
        <w:t xml:space="preserve">apply for food approval of the </w:t>
      </w:r>
      <w:r w:rsidR="006D5417">
        <w:rPr>
          <w:rFonts w:cs="Arial"/>
        </w:rPr>
        <w:t xml:space="preserve">GM </w:t>
      </w:r>
      <w:r w:rsidR="00CF089C">
        <w:rPr>
          <w:rFonts w:cs="Arial"/>
        </w:rPr>
        <w:t>m</w:t>
      </w:r>
      <w:r w:rsidR="005643EE" w:rsidRPr="005643EE">
        <w:rPr>
          <w:rFonts w:cs="Arial"/>
        </w:rPr>
        <w:t xml:space="preserve">aintainer line used in the SPT process in order to </w:t>
      </w:r>
      <w:r w:rsidR="00FD24AC">
        <w:t xml:space="preserve">ensure </w:t>
      </w:r>
      <w:r w:rsidR="00D5417F">
        <w:t>the safety of any transgenic seed that may inadvertently enter</w:t>
      </w:r>
      <w:r w:rsidR="005643EE" w:rsidRPr="005643EE">
        <w:t xml:space="preserve"> the food</w:t>
      </w:r>
      <w:r w:rsidR="00CF089C">
        <w:t xml:space="preserve"> supply</w:t>
      </w:r>
      <w:r w:rsidR="005643EE" w:rsidRPr="005643EE">
        <w:t>.</w:t>
      </w:r>
    </w:p>
    <w:p w:rsidR="00020D01" w:rsidRDefault="00020D01">
      <w:pPr>
        <w:spacing w:after="200" w:line="276" w:lineRule="auto"/>
        <w:rPr>
          <w:rFonts w:cs="Arial"/>
        </w:rPr>
      </w:pPr>
      <w:r>
        <w:rPr>
          <w:rFonts w:cs="Arial"/>
          <w:b/>
          <w:bCs/>
          <w:i/>
          <w:iCs/>
        </w:rPr>
        <w:br w:type="page"/>
      </w:r>
    </w:p>
    <w:p w:rsidR="008454C4" w:rsidRDefault="008454C4" w:rsidP="00984BE1">
      <w:pPr>
        <w:pStyle w:val="Heading3"/>
      </w:pPr>
      <w:bookmarkStart w:id="5" w:name="_Toc350235767"/>
      <w:r>
        <w:t>Reverse Breeding</w:t>
      </w:r>
      <w:bookmarkEnd w:id="5"/>
    </w:p>
    <w:p w:rsidR="008454C4" w:rsidRDefault="00CF1AD2" w:rsidP="008454C4">
      <w:pPr>
        <w:pStyle w:val="Heading5"/>
      </w:pPr>
      <w:r>
        <w:t xml:space="preserve">Overview </w:t>
      </w:r>
      <w:r w:rsidR="008454C4">
        <w:t>of the technique</w:t>
      </w:r>
    </w:p>
    <w:p w:rsidR="00881259" w:rsidRDefault="00B66F1A" w:rsidP="00B57D0C">
      <w:r>
        <w:t xml:space="preserve">The conventional way of making </w:t>
      </w:r>
      <w:r w:rsidR="00960121">
        <w:t xml:space="preserve">elite </w:t>
      </w:r>
      <w:r>
        <w:t xml:space="preserve">hybrids and capitalising on hybrid vigour is </w:t>
      </w:r>
      <w:r w:rsidR="00960121">
        <w:t xml:space="preserve">by crossing </w:t>
      </w:r>
      <w:r w:rsidR="00B57D0C">
        <w:t xml:space="preserve">selected </w:t>
      </w:r>
      <w:r w:rsidR="00960121">
        <w:t xml:space="preserve">inbred parental lines. </w:t>
      </w:r>
      <w:r w:rsidR="00B57D0C">
        <w:t>The parental lines can be propagated indefinitely via self fertilisation and crossed together at will to reconstitute the elite heterozygous genotype</w:t>
      </w:r>
      <w:r w:rsidR="00BD575E">
        <w:t xml:space="preserve"> of the hybrid</w:t>
      </w:r>
      <w:r w:rsidR="00B57D0C">
        <w:t>.  The</w:t>
      </w:r>
      <w:r w:rsidR="00392452">
        <w:t xml:space="preserve"> hybrid cannot itself be </w:t>
      </w:r>
      <w:r w:rsidR="00AA5F21">
        <w:t>propagated</w:t>
      </w:r>
      <w:r w:rsidR="00392452">
        <w:t xml:space="preserve"> </w:t>
      </w:r>
      <w:r w:rsidR="00AA5F21">
        <w:t>sexually</w:t>
      </w:r>
      <w:r w:rsidR="00392452">
        <w:t xml:space="preserve"> </w:t>
      </w:r>
      <w:r w:rsidR="00800CA1">
        <w:t xml:space="preserve">via seed </w:t>
      </w:r>
      <w:r w:rsidR="00392452">
        <w:t xml:space="preserve">without </w:t>
      </w:r>
      <w:r w:rsidR="00800CA1">
        <w:t xml:space="preserve">eventually </w:t>
      </w:r>
      <w:r w:rsidR="00392452">
        <w:t xml:space="preserve">losing its heterozygosity and thus its hybrid vigour. In some cases elite </w:t>
      </w:r>
      <w:r w:rsidR="00800CA1">
        <w:t xml:space="preserve">or high performing </w:t>
      </w:r>
      <w:r w:rsidR="00392452">
        <w:t xml:space="preserve">heterozygous lines </w:t>
      </w:r>
      <w:r w:rsidR="00663380">
        <w:t xml:space="preserve">that have undefined parentage </w:t>
      </w:r>
      <w:r w:rsidR="00392452">
        <w:t xml:space="preserve">may be identified </w:t>
      </w:r>
      <w:r w:rsidR="00800CA1">
        <w:t>in a breeding programme</w:t>
      </w:r>
      <w:r w:rsidR="00392452">
        <w:t xml:space="preserve">. </w:t>
      </w:r>
      <w:r w:rsidR="009458A8">
        <w:t>Reverse</w:t>
      </w:r>
      <w:r w:rsidR="00392452">
        <w:t xml:space="preserve"> breeding </w:t>
      </w:r>
      <w:r w:rsidR="00881259">
        <w:t xml:space="preserve">is a </w:t>
      </w:r>
      <w:r w:rsidR="009458A8">
        <w:t>technique</w:t>
      </w:r>
      <w:r w:rsidR="00881259">
        <w:t xml:space="preserve"> that </w:t>
      </w:r>
      <w:r w:rsidR="00392452">
        <w:t xml:space="preserve">enables the breeder to go backwards from </w:t>
      </w:r>
      <w:r w:rsidR="00663380">
        <w:t>such an individual</w:t>
      </w:r>
      <w:r w:rsidR="00392452">
        <w:t xml:space="preserve"> to </w:t>
      </w:r>
      <w:r w:rsidR="00B95F3F">
        <w:t xml:space="preserve">directly </w:t>
      </w:r>
      <w:r w:rsidR="00392452">
        <w:t>recreate the homozygous parental lines</w:t>
      </w:r>
      <w:r w:rsidR="0077412A">
        <w:t xml:space="preserve"> </w:t>
      </w:r>
      <w:r w:rsidR="00663380">
        <w:t>that created it</w:t>
      </w:r>
      <w:r w:rsidR="00B57D0C">
        <w:t xml:space="preserve"> –</w:t>
      </w:r>
      <w:r w:rsidR="0077412A">
        <w:t xml:space="preserve"> </w:t>
      </w:r>
      <w:r w:rsidR="00B57D0C">
        <w:t>essentially allow</w:t>
      </w:r>
      <w:r w:rsidR="009458A8">
        <w:t>ing</w:t>
      </w:r>
      <w:r w:rsidR="00B57D0C">
        <w:t xml:space="preserve"> mass production through seed of an elite heterozygous genotype</w:t>
      </w:r>
      <w:r w:rsidR="00C56611">
        <w:t xml:space="preserve">. </w:t>
      </w:r>
    </w:p>
    <w:p w:rsidR="00881259" w:rsidRDefault="00881259" w:rsidP="001607EF"/>
    <w:p w:rsidR="00B57D0C" w:rsidRDefault="00B57D0C" w:rsidP="001607EF">
      <w:r>
        <w:t xml:space="preserve">The </w:t>
      </w:r>
      <w:r w:rsidR="009458A8">
        <w:t xml:space="preserve">reverse breeding process begins with the production of </w:t>
      </w:r>
      <w:r w:rsidR="00663380">
        <w:t>gametes (haploid microspores</w:t>
      </w:r>
      <w:r w:rsidR="00663380">
        <w:rPr>
          <w:rStyle w:val="FootnoteReference"/>
        </w:rPr>
        <w:footnoteReference w:id="5"/>
      </w:r>
      <w:r w:rsidR="00663380">
        <w:t>)</w:t>
      </w:r>
      <w:r w:rsidR="00C3391B">
        <w:t xml:space="preserve"> </w:t>
      </w:r>
      <w:r w:rsidR="009458A8">
        <w:t>from the het</w:t>
      </w:r>
      <w:r w:rsidR="00FE78F3">
        <w:t>erozygous starting plant</w:t>
      </w:r>
      <w:r w:rsidR="00C3391B">
        <w:t xml:space="preserve"> in which meiotic recombination has been suppressed</w:t>
      </w:r>
      <w:r w:rsidR="00BC58AF">
        <w:t>.</w:t>
      </w:r>
      <w:r w:rsidR="009458A8">
        <w:t xml:space="preserve"> </w:t>
      </w:r>
    </w:p>
    <w:p w:rsidR="002058B3" w:rsidRDefault="002058B3" w:rsidP="001607EF"/>
    <w:p w:rsidR="00F0212F" w:rsidRDefault="00034289" w:rsidP="001607EF">
      <w:r>
        <w:t>A range of techniques can be used to suppress recombination:</w:t>
      </w:r>
    </w:p>
    <w:p w:rsidR="00034289" w:rsidRDefault="00034289" w:rsidP="001607EF"/>
    <w:p w:rsidR="00034289" w:rsidRDefault="000D3AEB" w:rsidP="00DC6F63">
      <w:pPr>
        <w:pStyle w:val="ListParagraph"/>
        <w:numPr>
          <w:ilvl w:val="0"/>
          <w:numId w:val="14"/>
        </w:numPr>
        <w:ind w:left="360"/>
      </w:pPr>
      <w:r>
        <w:t>c</w:t>
      </w:r>
      <w:r w:rsidR="00034289">
        <w:t>hemical treatment;</w:t>
      </w:r>
    </w:p>
    <w:p w:rsidR="000D3AEB" w:rsidRDefault="000D3AEB" w:rsidP="00612183">
      <w:pPr>
        <w:pStyle w:val="ListParagraph"/>
        <w:ind w:left="360"/>
      </w:pPr>
    </w:p>
    <w:p w:rsidR="00034289" w:rsidRDefault="000D3AEB" w:rsidP="00DC6F63">
      <w:pPr>
        <w:pStyle w:val="ListParagraph"/>
        <w:numPr>
          <w:ilvl w:val="0"/>
          <w:numId w:val="14"/>
        </w:numPr>
        <w:ind w:left="360"/>
      </w:pPr>
      <w:r>
        <w:t>e</w:t>
      </w:r>
      <w:r w:rsidR="00034289">
        <w:t>ndogenous mutations – a number h</w:t>
      </w:r>
      <w:r>
        <w:t xml:space="preserve">ave been described for various </w:t>
      </w:r>
      <w:r w:rsidR="00034289">
        <w:t>crop species</w:t>
      </w:r>
      <w:r>
        <w:t>;</w:t>
      </w:r>
    </w:p>
    <w:p w:rsidR="000D3AEB" w:rsidRDefault="000D3AEB" w:rsidP="00612183"/>
    <w:p w:rsidR="00034289" w:rsidRDefault="000D3AEB" w:rsidP="00DC6F63">
      <w:pPr>
        <w:pStyle w:val="ListParagraph"/>
        <w:numPr>
          <w:ilvl w:val="0"/>
          <w:numId w:val="14"/>
        </w:numPr>
        <w:ind w:left="360"/>
      </w:pPr>
      <w:r>
        <w:t>s</w:t>
      </w:r>
      <w:r w:rsidR="00034289">
        <w:t xml:space="preserve">ilencing of key genes involved in recombination events – </w:t>
      </w:r>
      <w:r>
        <w:t>eg</w:t>
      </w:r>
      <w:r w:rsidR="00034289">
        <w:t xml:space="preserve"> </w:t>
      </w:r>
      <w:r w:rsidR="00E66218">
        <w:t xml:space="preserve">through </w:t>
      </w:r>
      <w:r w:rsidR="00034289">
        <w:t>transient expression of a silencing construct using a viral vector</w:t>
      </w:r>
      <w:r w:rsidR="00E66218">
        <w:t>;</w:t>
      </w:r>
      <w:r>
        <w:t xml:space="preserve"> </w:t>
      </w:r>
      <w:r w:rsidR="00034289">
        <w:t xml:space="preserve">graft transmission from a </w:t>
      </w:r>
      <w:r>
        <w:t>transgenic</w:t>
      </w:r>
      <w:r w:rsidR="00034289">
        <w:t xml:space="preserve"> rootstock</w:t>
      </w:r>
      <w:r w:rsidR="00E66218">
        <w:t>;</w:t>
      </w:r>
      <w:r w:rsidR="00535A64">
        <w:t xml:space="preserve"> or </w:t>
      </w:r>
      <w:r w:rsidR="00034289">
        <w:t xml:space="preserve">stable transformation </w:t>
      </w:r>
      <w:r w:rsidR="00535A64">
        <w:t xml:space="preserve">of the silencing construct. </w:t>
      </w:r>
      <w:r w:rsidR="00E66218">
        <w:t>The t</w:t>
      </w:r>
      <w:r w:rsidR="00535A64">
        <w:t xml:space="preserve">ypical approach would be to use </w:t>
      </w:r>
      <w:r w:rsidR="00034289">
        <w:t>RNA</w:t>
      </w:r>
      <w:r w:rsidR="00207E3A">
        <w:t xml:space="preserve"> interference (RNA</w:t>
      </w:r>
      <w:r w:rsidR="00034289">
        <w:t>i</w:t>
      </w:r>
      <w:r w:rsidR="00207E3A">
        <w:t>)</w:t>
      </w:r>
      <w:r w:rsidR="007F52EC">
        <w:t xml:space="preserve"> </w:t>
      </w:r>
      <w:r w:rsidR="00034289">
        <w:t xml:space="preserve">or </w:t>
      </w:r>
      <w:r w:rsidR="007F52EC">
        <w:t>small interfering RNA (</w:t>
      </w:r>
      <w:r w:rsidR="00034289">
        <w:t>siRNA</w:t>
      </w:r>
      <w:r w:rsidR="007F52EC">
        <w:t>)</w:t>
      </w:r>
      <w:r w:rsidR="00034289">
        <w:t xml:space="preserve"> constructs </w:t>
      </w:r>
      <w:r w:rsidR="00535A64">
        <w:t>to silence the relevant genes;</w:t>
      </w:r>
    </w:p>
    <w:p w:rsidR="00535A64" w:rsidRDefault="00535A64" w:rsidP="00612183"/>
    <w:p w:rsidR="00034289" w:rsidRDefault="00535A64" w:rsidP="00DC6F63">
      <w:pPr>
        <w:pStyle w:val="ListParagraph"/>
        <w:numPr>
          <w:ilvl w:val="0"/>
          <w:numId w:val="14"/>
        </w:numPr>
        <w:ind w:left="360"/>
      </w:pPr>
      <w:r>
        <w:t>i</w:t>
      </w:r>
      <w:r w:rsidR="00034289">
        <w:t>ntroduce genes encoding proteins that are known to interfere with crossing over.</w:t>
      </w:r>
    </w:p>
    <w:p w:rsidR="0047473C" w:rsidRDefault="0047473C" w:rsidP="001607EF"/>
    <w:p w:rsidR="00157F7B" w:rsidRDefault="00E00A77" w:rsidP="001607EF">
      <w:r>
        <w:t xml:space="preserve">Where </w:t>
      </w:r>
      <w:r w:rsidR="006C0898">
        <w:t>GM techniques</w:t>
      </w:r>
      <w:r>
        <w:t xml:space="preserve"> </w:t>
      </w:r>
      <w:r w:rsidR="006C0898">
        <w:t>are</w:t>
      </w:r>
      <w:r>
        <w:t xml:space="preserve"> being used for the suppression of recombination, the</w:t>
      </w:r>
      <w:r w:rsidR="005E69A6">
        <w:t xml:space="preserve"> first </w:t>
      </w:r>
      <w:r>
        <w:t xml:space="preserve">step of the reverse breeding process </w:t>
      </w:r>
      <w:r w:rsidR="00157F7B">
        <w:t>would therefore be</w:t>
      </w:r>
      <w:r w:rsidR="005E69A6">
        <w:t xml:space="preserve"> to transform the elite hybrid with the recombination suppressing construct –</w:t>
      </w:r>
      <w:r w:rsidR="008D780D">
        <w:t xml:space="preserve"> </w:t>
      </w:r>
      <w:r w:rsidR="005E69A6">
        <w:t xml:space="preserve">usually a hemizygous event. </w:t>
      </w:r>
      <w:r w:rsidR="00021041">
        <w:t xml:space="preserve">This plant </w:t>
      </w:r>
      <w:r w:rsidR="00663380">
        <w:t>will then</w:t>
      </w:r>
      <w:r w:rsidR="00021041">
        <w:t xml:space="preserve"> give rise to </w:t>
      </w:r>
      <w:r w:rsidR="001F25C4">
        <w:t xml:space="preserve">some </w:t>
      </w:r>
      <w:r w:rsidR="00021041">
        <w:t xml:space="preserve">gametes carrying </w:t>
      </w:r>
      <w:r w:rsidR="001F25C4">
        <w:t xml:space="preserve">only </w:t>
      </w:r>
      <w:r w:rsidR="00021041">
        <w:t xml:space="preserve">non-recombinant (ie parental) chromosomes.  </w:t>
      </w:r>
    </w:p>
    <w:p w:rsidR="00157F7B" w:rsidRDefault="00157F7B" w:rsidP="001607EF"/>
    <w:p w:rsidR="00DC583C" w:rsidRDefault="00157F7B" w:rsidP="001607EF">
      <w:r>
        <w:t xml:space="preserve">Double haploid (DH) technology is then used to double the chromosomes in the haploid microspores, resulting in a completely homozygous genotype. Homozygous plants can then be regenerated from the </w:t>
      </w:r>
      <w:r w:rsidR="006C0898">
        <w:t>DH</w:t>
      </w:r>
      <w:r>
        <w:t xml:space="preserve"> microspores.  </w:t>
      </w:r>
      <w:r w:rsidR="00E00A77">
        <w:t xml:space="preserve">The next step is </w:t>
      </w:r>
      <w:r w:rsidR="005E69A6">
        <w:t>to identify those DH</w:t>
      </w:r>
      <w:r>
        <w:t xml:space="preserve"> plant</w:t>
      </w:r>
      <w:r w:rsidR="00CB6D48">
        <w:t>s</w:t>
      </w:r>
      <w:r w:rsidR="005E69A6">
        <w:t xml:space="preserve"> </w:t>
      </w:r>
      <w:r w:rsidR="00E00A77">
        <w:t xml:space="preserve">which </w:t>
      </w:r>
      <w:r w:rsidR="005E69A6">
        <w:t xml:space="preserve">contain complementary sets of </w:t>
      </w:r>
      <w:r w:rsidR="001F25C4">
        <w:t xml:space="preserve">chromosomes </w:t>
      </w:r>
      <w:r w:rsidR="00CB6D48">
        <w:t>that</w:t>
      </w:r>
      <w:r w:rsidR="005E69A6">
        <w:t xml:space="preserve"> will recreate the genotype of the starting plant</w:t>
      </w:r>
      <w:r>
        <w:t xml:space="preserve"> when crossed – these are the </w:t>
      </w:r>
      <w:r w:rsidR="001F25C4">
        <w:t xml:space="preserve">new </w:t>
      </w:r>
      <w:r>
        <w:t>parental lines</w:t>
      </w:r>
      <w:r w:rsidR="005E69A6">
        <w:t xml:space="preserve">. This is done using molecular markers </w:t>
      </w:r>
      <w:r w:rsidR="00E00A77">
        <w:t>for</w:t>
      </w:r>
      <w:r w:rsidR="005E69A6">
        <w:t xml:space="preserve"> each of the chromosomes</w:t>
      </w:r>
      <w:r w:rsidR="00021041">
        <w:t xml:space="preserve">. </w:t>
      </w:r>
      <w:r w:rsidR="000E334C">
        <w:t>It is</w:t>
      </w:r>
      <w:r w:rsidR="00E04E4D">
        <w:t xml:space="preserve"> possible to</w:t>
      </w:r>
      <w:r w:rsidR="003F343F">
        <w:t xml:space="preserve"> select against the </w:t>
      </w:r>
      <w:r w:rsidR="00E04E4D">
        <w:t xml:space="preserve">(recombination suppressing) </w:t>
      </w:r>
      <w:r w:rsidR="003F343F">
        <w:t>transgene at this stage of the process</w:t>
      </w:r>
      <w:r w:rsidR="00857828">
        <w:t xml:space="preserve"> – </w:t>
      </w:r>
      <w:r w:rsidR="00E04E4D">
        <w:t>although the actual process for doing this is not well described</w:t>
      </w:r>
      <w:r w:rsidR="00F31CA0">
        <w:t xml:space="preserve"> in the literature</w:t>
      </w:r>
      <w:r w:rsidR="00857828">
        <w:t xml:space="preserve"> – </w:t>
      </w:r>
      <w:r w:rsidR="00021041">
        <w:t xml:space="preserve">so that the </w:t>
      </w:r>
      <w:r w:rsidR="00F31CA0">
        <w:t>selected</w:t>
      </w:r>
      <w:r w:rsidR="00021041">
        <w:t xml:space="preserve"> parental lines </w:t>
      </w:r>
      <w:r w:rsidR="00F31CA0">
        <w:t>do not</w:t>
      </w:r>
      <w:r w:rsidR="00021041">
        <w:t xml:space="preserve"> contain the introduced transgene</w:t>
      </w:r>
      <w:r w:rsidR="00857828">
        <w:t>.</w:t>
      </w:r>
      <w:r w:rsidR="00E247F6">
        <w:t xml:space="preserve"> </w:t>
      </w:r>
      <w:r w:rsidR="0007314F">
        <w:t xml:space="preserve">Using homozygous parental lines that do not contain the introduced transgene will ensure that the resulting final heterozygous plants are non-transgenic. </w:t>
      </w:r>
      <w:r w:rsidR="00E247F6">
        <w:t xml:space="preserve">Once two </w:t>
      </w:r>
      <w:r w:rsidR="00DA358F">
        <w:t xml:space="preserve">complementary </w:t>
      </w:r>
      <w:r w:rsidR="00E247F6">
        <w:t>parental lines are identified</w:t>
      </w:r>
      <w:r w:rsidR="00857828">
        <w:t>, these can be used in a hybr</w:t>
      </w:r>
      <w:r w:rsidR="00E247F6">
        <w:t>id production system</w:t>
      </w:r>
      <w:r w:rsidR="00F31CA0">
        <w:t xml:space="preserve"> to recreate the </w:t>
      </w:r>
      <w:r w:rsidR="006C0898">
        <w:t>hetero</w:t>
      </w:r>
      <w:r w:rsidR="008D780D">
        <w:t xml:space="preserve">zygous </w:t>
      </w:r>
      <w:r w:rsidR="00F31CA0">
        <w:t>genotype of the starting plant</w:t>
      </w:r>
      <w:r w:rsidR="00E247F6">
        <w:t xml:space="preserve">. </w:t>
      </w:r>
    </w:p>
    <w:p w:rsidR="00E247F6" w:rsidRDefault="00E247F6" w:rsidP="001607EF"/>
    <w:p w:rsidR="00EF5267" w:rsidRDefault="006C0898" w:rsidP="0019039C">
      <w:pPr>
        <w:spacing w:after="200" w:line="276" w:lineRule="auto"/>
      </w:pPr>
      <w:r>
        <w:br w:type="page"/>
      </w:r>
      <w:r w:rsidR="00DA358F">
        <w:t>P</w:t>
      </w:r>
      <w:r w:rsidR="00EF5267">
        <w:t>otential limitations with the technique</w:t>
      </w:r>
      <w:r w:rsidR="00DA358F">
        <w:t xml:space="preserve"> include</w:t>
      </w:r>
      <w:r w:rsidR="00EF5267">
        <w:t>:</w:t>
      </w:r>
    </w:p>
    <w:p w:rsidR="00E247F6" w:rsidRDefault="00F81B3C" w:rsidP="00DC6F63">
      <w:pPr>
        <w:pStyle w:val="ListParagraph"/>
        <w:numPr>
          <w:ilvl w:val="0"/>
          <w:numId w:val="15"/>
        </w:numPr>
      </w:pPr>
      <w:r>
        <w:t xml:space="preserve">probably </w:t>
      </w:r>
      <w:r w:rsidR="00983F5F">
        <w:t>most suitable for</w:t>
      </w:r>
      <w:r>
        <w:t xml:space="preserve"> </w:t>
      </w:r>
      <w:r w:rsidR="00E247F6">
        <w:t xml:space="preserve">vegetatively propagated </w:t>
      </w:r>
      <w:r>
        <w:t xml:space="preserve">crops where </w:t>
      </w:r>
      <w:r w:rsidR="00983F5F">
        <w:t xml:space="preserve">elite </w:t>
      </w:r>
      <w:r>
        <w:t xml:space="preserve">heterozygous </w:t>
      </w:r>
      <w:r w:rsidR="00983F5F">
        <w:t xml:space="preserve">varieties exist without inbred parents </w:t>
      </w:r>
      <w:r w:rsidR="00051608">
        <w:t>(</w:t>
      </w:r>
      <w:r w:rsidR="00983F5F">
        <w:t xml:space="preserve">where </w:t>
      </w:r>
      <w:r w:rsidR="00051608">
        <w:t>seed propagation will disrupt favourable genetic combinations</w:t>
      </w:r>
      <w:r w:rsidR="00983F5F">
        <w:t xml:space="preserve"> but may offer some cost/logistical advantages</w:t>
      </w:r>
      <w:r w:rsidR="00051608">
        <w:t>)</w:t>
      </w:r>
      <w:r w:rsidR="00EF5267">
        <w:t>;</w:t>
      </w:r>
    </w:p>
    <w:p w:rsidR="00707708" w:rsidRDefault="00707708" w:rsidP="001607EF"/>
    <w:p w:rsidR="00707708" w:rsidRDefault="00707708" w:rsidP="00DC6F63">
      <w:pPr>
        <w:pStyle w:val="ListParagraph"/>
        <w:numPr>
          <w:ilvl w:val="0"/>
          <w:numId w:val="15"/>
        </w:numPr>
      </w:pPr>
      <w:r>
        <w:t>using this technique with F1 hybrid</w:t>
      </w:r>
      <w:r w:rsidR="002F4B18">
        <w:t>s appears to be pointles</w:t>
      </w:r>
      <w:r>
        <w:t xml:space="preserve">s because </w:t>
      </w:r>
      <w:r w:rsidR="00EF5267">
        <w:t>the parents</w:t>
      </w:r>
      <w:r w:rsidR="002F4B18">
        <w:t xml:space="preserve"> will already be known</w:t>
      </w:r>
      <w:r w:rsidR="00EF5267">
        <w:t>;</w:t>
      </w:r>
    </w:p>
    <w:p w:rsidR="00EF5267" w:rsidRDefault="00EF5267" w:rsidP="00EF5267">
      <w:pPr>
        <w:pStyle w:val="ListParagraph"/>
      </w:pPr>
    </w:p>
    <w:p w:rsidR="003D3D51" w:rsidRDefault="006C0898" w:rsidP="00DC6F63">
      <w:pPr>
        <w:pStyle w:val="ListParagraph"/>
        <w:numPr>
          <w:ilvl w:val="0"/>
          <w:numId w:val="15"/>
        </w:numPr>
      </w:pPr>
      <w:r>
        <w:t xml:space="preserve">only </w:t>
      </w:r>
      <w:r w:rsidR="00051608">
        <w:t xml:space="preserve">considered workable for plants with a chromosome number less than 10. </w:t>
      </w:r>
      <w:r w:rsidR="00D33102">
        <w:t>When a species with a large number of chromosomes is used, many of the gametes will be unbalanced and either unviable or producing aneuploid</w:t>
      </w:r>
      <w:r w:rsidR="00085EC7">
        <w:rPr>
          <w:rStyle w:val="FootnoteReference"/>
        </w:rPr>
        <w:footnoteReference w:id="6"/>
      </w:r>
      <w:r w:rsidR="00D33102">
        <w:t xml:space="preserve"> individuals with poor vigour. </w:t>
      </w:r>
      <w:r w:rsidR="00085EC7">
        <w:t>This is because in</w:t>
      </w:r>
      <w:r w:rsidR="00707708">
        <w:t xml:space="preserve"> the absence of crossing over</w:t>
      </w:r>
      <w:r w:rsidR="00C10BE6">
        <w:t>,</w:t>
      </w:r>
      <w:r w:rsidR="0057124B">
        <w:t xml:space="preserve"> </w:t>
      </w:r>
      <w:r w:rsidR="00707708">
        <w:t>meiotic events do not occur faithfully</w:t>
      </w:r>
      <w:r w:rsidR="00DE1497">
        <w:t xml:space="preserve"> (crossing over actually maintains the integrity of the meiotic process)</w:t>
      </w:r>
      <w:r w:rsidR="00707708">
        <w:t xml:space="preserve">, </w:t>
      </w:r>
      <w:r w:rsidR="00085EC7">
        <w:t>resulting in</w:t>
      </w:r>
      <w:r w:rsidR="0057124B">
        <w:t xml:space="preserve"> </w:t>
      </w:r>
      <w:r w:rsidR="00085EC7">
        <w:t xml:space="preserve">the formation of </w:t>
      </w:r>
      <w:r w:rsidR="0057124B">
        <w:t>a large number of</w:t>
      </w:r>
      <w:r w:rsidR="00707708">
        <w:t xml:space="preserve"> aneuploid gam</w:t>
      </w:r>
      <w:r w:rsidR="0057124B">
        <w:t>e</w:t>
      </w:r>
      <w:r w:rsidR="00707708">
        <w:t>tes</w:t>
      </w:r>
      <w:r w:rsidR="00085EC7">
        <w:t>. Finding individuals with complementary sets of chromosomes would also be more difficult due to the increased number of potential haploid combinations</w:t>
      </w:r>
      <w:r w:rsidR="003D3D51">
        <w:t>;</w:t>
      </w:r>
    </w:p>
    <w:p w:rsidR="003D3D51" w:rsidRDefault="003D3D51" w:rsidP="003D3D51">
      <w:pPr>
        <w:pStyle w:val="ListParagraph"/>
      </w:pPr>
    </w:p>
    <w:p w:rsidR="00693B19" w:rsidRDefault="002906B5" w:rsidP="00DC6F63">
      <w:pPr>
        <w:pStyle w:val="ListParagraph"/>
        <w:numPr>
          <w:ilvl w:val="0"/>
          <w:numId w:val="15"/>
        </w:numPr>
      </w:pPr>
      <w:r>
        <w:t xml:space="preserve">requires </w:t>
      </w:r>
      <w:r w:rsidR="00693B19">
        <w:t>microspore-</w:t>
      </w:r>
      <w:r w:rsidR="003D3D51">
        <w:t>derive</w:t>
      </w:r>
      <w:r w:rsidR="00062CF9">
        <w:t>d</w:t>
      </w:r>
      <w:r w:rsidR="003D3D51">
        <w:t xml:space="preserve"> </w:t>
      </w:r>
      <w:r w:rsidR="00062CF9">
        <w:t xml:space="preserve">DH technology </w:t>
      </w:r>
      <w:r>
        <w:t xml:space="preserve">to be </w:t>
      </w:r>
      <w:r w:rsidR="00062CF9">
        <w:t xml:space="preserve">available </w:t>
      </w:r>
      <w:r w:rsidR="003D3D51">
        <w:t>for</w:t>
      </w:r>
      <w:r w:rsidR="00062CF9">
        <w:t xml:space="preserve"> the </w:t>
      </w:r>
      <w:r>
        <w:t xml:space="preserve">particular </w:t>
      </w:r>
      <w:r w:rsidR="00062CF9">
        <w:t xml:space="preserve">crop </w:t>
      </w:r>
      <w:r w:rsidR="003D3D51">
        <w:t>species</w:t>
      </w:r>
      <w:r w:rsidR="00693B19">
        <w:t>;</w:t>
      </w:r>
    </w:p>
    <w:p w:rsidR="00693B19" w:rsidRDefault="00693B19" w:rsidP="00693B19">
      <w:pPr>
        <w:pStyle w:val="ListParagraph"/>
      </w:pPr>
    </w:p>
    <w:p w:rsidR="00693B19" w:rsidRDefault="002906B5" w:rsidP="00DC6F63">
      <w:pPr>
        <w:pStyle w:val="ListParagraph"/>
        <w:numPr>
          <w:ilvl w:val="0"/>
          <w:numId w:val="15"/>
        </w:numPr>
      </w:pPr>
      <w:r>
        <w:t>requires</w:t>
      </w:r>
      <w:r w:rsidR="00693B19">
        <w:t xml:space="preserve"> </w:t>
      </w:r>
      <w:r w:rsidR="00062CF9">
        <w:t>molecular markers for</w:t>
      </w:r>
      <w:r w:rsidR="00693B19">
        <w:t xml:space="preserve"> </w:t>
      </w:r>
      <w:r w:rsidR="00062CF9">
        <w:t>all of the chromosomes</w:t>
      </w:r>
      <w:r w:rsidR="00693B19">
        <w:t>.</w:t>
      </w:r>
    </w:p>
    <w:p w:rsidR="00693B19" w:rsidRDefault="00693B19" w:rsidP="00693B19">
      <w:pPr>
        <w:pStyle w:val="ListParagraph"/>
      </w:pPr>
    </w:p>
    <w:p w:rsidR="00707708" w:rsidRDefault="00693B19" w:rsidP="00693B19">
      <w:r>
        <w:t>T</w:t>
      </w:r>
      <w:r w:rsidR="00BE6E3C">
        <w:t>aken together, t</w:t>
      </w:r>
      <w:r>
        <w:t xml:space="preserve">hese limitations point to a fairly narrow range of crops for which this technique might be suitable. </w:t>
      </w:r>
      <w:r w:rsidR="007C0E73">
        <w:t>At this stage there do</w:t>
      </w:r>
      <w:r w:rsidR="00442369">
        <w:t>es</w:t>
      </w:r>
      <w:r w:rsidR="007C0E73">
        <w:t xml:space="preserve"> not app</w:t>
      </w:r>
      <w:r w:rsidR="00062CF9">
        <w:t xml:space="preserve">ear to be any </w:t>
      </w:r>
      <w:r w:rsidR="007C0E73">
        <w:t xml:space="preserve">real </w:t>
      </w:r>
      <w:r w:rsidR="00062CF9">
        <w:t>examples or applications in the literature</w:t>
      </w:r>
      <w:r w:rsidR="00BE6E3C">
        <w:t>, and the benefits of the technique are not immediately apparent</w:t>
      </w:r>
      <w:r w:rsidR="00062CF9">
        <w:t>.</w:t>
      </w:r>
    </w:p>
    <w:p w:rsidR="00062CF9" w:rsidRDefault="00062CF9" w:rsidP="001607EF"/>
    <w:p w:rsidR="0078096F" w:rsidRDefault="009E09F2" w:rsidP="0078096F">
      <w:r>
        <w:t>Given that any stably introduced transgene would be s</w:t>
      </w:r>
      <w:r w:rsidR="006D119D">
        <w:t>e</w:t>
      </w:r>
      <w:r>
        <w:t>lected against dur</w:t>
      </w:r>
      <w:r w:rsidR="00A823B1">
        <w:t>ing the process</w:t>
      </w:r>
      <w:r w:rsidR="006C0898">
        <w:t>,</w:t>
      </w:r>
      <w:r w:rsidR="00A823B1">
        <w:t xml:space="preserve"> </w:t>
      </w:r>
      <w:r>
        <w:t>unintended effects ar</w:t>
      </w:r>
      <w:r w:rsidR="006D119D">
        <w:t>ising from the technique are</w:t>
      </w:r>
      <w:r>
        <w:t xml:space="preserve"> considered unlikely</w:t>
      </w:r>
      <w:r w:rsidR="006D119D">
        <w:t>.</w:t>
      </w:r>
      <w:r w:rsidR="00107D0F">
        <w:t xml:space="preserve"> </w:t>
      </w:r>
      <w:r w:rsidR="00A823B1">
        <w:t xml:space="preserve">Furthermore there is no rationale for retaining the silencing transgene in the parental lines as its presence is likely to compromise seed production because of irregular gamete formation. </w:t>
      </w:r>
      <w:r w:rsidR="00C93CE2">
        <w:t>Any</w:t>
      </w:r>
      <w:r w:rsidR="00107D0F">
        <w:t xml:space="preserve"> food products </w:t>
      </w:r>
      <w:r w:rsidR="00C93CE2">
        <w:t>therefore</w:t>
      </w:r>
      <w:r w:rsidR="00107D0F">
        <w:t xml:space="preserve"> should be </w:t>
      </w:r>
      <w:r w:rsidR="00C93CE2">
        <w:t>equivalent</w:t>
      </w:r>
      <w:r w:rsidR="00107D0F">
        <w:t xml:space="preserve"> to </w:t>
      </w:r>
      <w:r w:rsidR="00C93CE2">
        <w:t xml:space="preserve">those derived from </w:t>
      </w:r>
      <w:r w:rsidR="00107D0F">
        <w:t xml:space="preserve">a </w:t>
      </w:r>
      <w:r w:rsidR="00BE6E3C">
        <w:t xml:space="preserve">normal hybrid </w:t>
      </w:r>
      <w:r w:rsidR="00107D0F">
        <w:t xml:space="preserve">plant that </w:t>
      </w:r>
      <w:r w:rsidR="00F2172A">
        <w:t>has not</w:t>
      </w:r>
      <w:r w:rsidR="00107D0F">
        <w:t xml:space="preserve"> gone through </w:t>
      </w:r>
      <w:r w:rsidR="00C93CE2">
        <w:t>the</w:t>
      </w:r>
      <w:r w:rsidR="00107D0F">
        <w:t xml:space="preserve"> </w:t>
      </w:r>
      <w:r w:rsidR="00BE6E3C">
        <w:t xml:space="preserve">reverse breeding </w:t>
      </w:r>
      <w:r w:rsidR="00107D0F">
        <w:t xml:space="preserve">process (unless of course </w:t>
      </w:r>
      <w:r w:rsidR="00A823B1">
        <w:t>the technique is</w:t>
      </w:r>
      <w:r w:rsidR="00107D0F">
        <w:t xml:space="preserve"> practi</w:t>
      </w:r>
      <w:r w:rsidR="00934734">
        <w:t>s</w:t>
      </w:r>
      <w:r w:rsidR="00107D0F">
        <w:t>e</w:t>
      </w:r>
      <w:r w:rsidR="00C93CE2">
        <w:t>d</w:t>
      </w:r>
      <w:r w:rsidR="00107D0F">
        <w:t xml:space="preserve"> in conjunction with other transgenic </w:t>
      </w:r>
      <w:r w:rsidR="00C93CE2">
        <w:t>modifications</w:t>
      </w:r>
      <w:r w:rsidR="00107D0F">
        <w:t>)</w:t>
      </w:r>
      <w:r w:rsidR="00C93CE2">
        <w:t>.</w:t>
      </w:r>
    </w:p>
    <w:p w:rsidR="008454C4" w:rsidRDefault="008454C4" w:rsidP="0078096F">
      <w:pPr>
        <w:pStyle w:val="Heading5"/>
        <w:keepNext w:val="0"/>
      </w:pPr>
      <w:r>
        <w:t>Panel discussion</w:t>
      </w:r>
    </w:p>
    <w:p w:rsidR="00CC3677" w:rsidRDefault="00277C4A" w:rsidP="00CC3677">
      <w:pPr>
        <w:rPr>
          <w:lang w:val="en-US"/>
        </w:rPr>
      </w:pPr>
      <w:r>
        <w:t xml:space="preserve">On the basis of the </w:t>
      </w:r>
      <w:r w:rsidR="00CC3677">
        <w:t xml:space="preserve">available </w:t>
      </w:r>
      <w:r>
        <w:t xml:space="preserve">information published so far, the panel </w:t>
      </w:r>
      <w:r w:rsidR="00CC3677">
        <w:t>did</w:t>
      </w:r>
      <w:r>
        <w:t xml:space="preserve"> not </w:t>
      </w:r>
      <w:r w:rsidR="00CC3677">
        <w:t>consider</w:t>
      </w:r>
      <w:r>
        <w:t xml:space="preserve"> </w:t>
      </w:r>
      <w:r w:rsidR="00C10BE6">
        <w:t>the technique</w:t>
      </w:r>
      <w:r>
        <w:t xml:space="preserve"> would have widespread application. The</w:t>
      </w:r>
      <w:r w:rsidR="00715F86">
        <w:t xml:space="preserve"> types of plants for which this technique might be </w:t>
      </w:r>
      <w:r w:rsidR="008C32D3">
        <w:t>suitable</w:t>
      </w:r>
      <w:r>
        <w:t xml:space="preserve"> (based on a chromosome number of 10 or less) </w:t>
      </w:r>
      <w:r w:rsidR="00715F86">
        <w:t xml:space="preserve">include </w:t>
      </w:r>
      <w:r w:rsidR="00715F86" w:rsidRPr="00715F86">
        <w:rPr>
          <w:lang w:val="en-US"/>
        </w:rPr>
        <w:t xml:space="preserve">onion, cucumber, barley, sugarbeet, </w:t>
      </w:r>
      <w:r w:rsidR="00C84EDD">
        <w:rPr>
          <w:lang w:val="en-US"/>
        </w:rPr>
        <w:t xml:space="preserve">most vegetable Brassicas, </w:t>
      </w:r>
      <w:r w:rsidR="00715F86" w:rsidRPr="00715F86">
        <w:rPr>
          <w:lang w:val="en-US"/>
        </w:rPr>
        <w:t xml:space="preserve">lettuce, maize, sorghum, </w:t>
      </w:r>
      <w:r w:rsidR="0014251A">
        <w:rPr>
          <w:lang w:val="en-US"/>
        </w:rPr>
        <w:t>asparagus and cocoa.</w:t>
      </w:r>
      <w:r w:rsidR="0021326E">
        <w:rPr>
          <w:lang w:val="en-US"/>
        </w:rPr>
        <w:t xml:space="preserve"> </w:t>
      </w:r>
      <w:r>
        <w:rPr>
          <w:lang w:val="en-US"/>
        </w:rPr>
        <w:t xml:space="preserve">So far however there are no examples published in the literature. </w:t>
      </w:r>
      <w:r w:rsidR="0021326E">
        <w:rPr>
          <w:lang w:val="en-US"/>
        </w:rPr>
        <w:t>The panel agreed there might be particular advantages to this technique if used in vegetatively propagated species</w:t>
      </w:r>
      <w:r w:rsidR="00CC3677">
        <w:rPr>
          <w:lang w:val="en-US"/>
        </w:rPr>
        <w:t>,</w:t>
      </w:r>
      <w:r w:rsidR="0021326E">
        <w:rPr>
          <w:lang w:val="en-US"/>
        </w:rPr>
        <w:t xml:space="preserve"> based purely on cost as it would enable </w:t>
      </w:r>
      <w:r w:rsidR="0021326E" w:rsidRPr="0021326E">
        <w:rPr>
          <w:lang w:val="en-US"/>
        </w:rPr>
        <w:t xml:space="preserve">the propagation of an elite heterozygous line </w:t>
      </w:r>
      <w:r>
        <w:rPr>
          <w:lang w:val="en-US"/>
        </w:rPr>
        <w:t xml:space="preserve">to be converted </w:t>
      </w:r>
      <w:r w:rsidR="0021326E" w:rsidRPr="0021326E">
        <w:rPr>
          <w:lang w:val="en-US"/>
        </w:rPr>
        <w:t xml:space="preserve">from vegetative to seed propagation (if </w:t>
      </w:r>
      <w:r w:rsidR="00BE6E3C">
        <w:rPr>
          <w:lang w:val="en-US"/>
        </w:rPr>
        <w:t>feasible</w:t>
      </w:r>
      <w:r w:rsidR="0021326E" w:rsidRPr="0021326E">
        <w:rPr>
          <w:lang w:val="en-US"/>
        </w:rPr>
        <w:t xml:space="preserve"> for that species</w:t>
      </w:r>
      <w:r>
        <w:rPr>
          <w:lang w:val="en-US"/>
        </w:rPr>
        <w:t>)</w:t>
      </w:r>
      <w:r w:rsidR="0021326E">
        <w:rPr>
          <w:lang w:val="en-US"/>
        </w:rPr>
        <w:t xml:space="preserve">. The panel could not see any particular advantage for the use of this technique in </w:t>
      </w:r>
      <w:r w:rsidR="00016F08">
        <w:rPr>
          <w:lang w:val="en-US"/>
        </w:rPr>
        <w:t>grain</w:t>
      </w:r>
      <w:r w:rsidR="0021326E">
        <w:rPr>
          <w:lang w:val="en-US"/>
        </w:rPr>
        <w:t xml:space="preserve"> crops.</w:t>
      </w:r>
    </w:p>
    <w:p w:rsidR="00CB5A11" w:rsidRPr="00CC3677" w:rsidRDefault="00277C4A" w:rsidP="00CC3677">
      <w:pPr>
        <w:rPr>
          <w:lang w:val="en-US"/>
        </w:rPr>
      </w:pPr>
      <w:r>
        <w:rPr>
          <w:lang w:val="en-US"/>
        </w:rPr>
        <w:t xml:space="preserve"> </w:t>
      </w:r>
    </w:p>
    <w:p w:rsidR="001A1607" w:rsidRDefault="00277C4A" w:rsidP="001A1607">
      <w:r>
        <w:t xml:space="preserve">The main points </w:t>
      </w:r>
      <w:r w:rsidR="00425FBB">
        <w:t>from</w:t>
      </w:r>
      <w:r>
        <w:t xml:space="preserve"> the panel </w:t>
      </w:r>
      <w:r w:rsidR="00F90ED7">
        <w:t>discussion are summarised below:</w:t>
      </w:r>
    </w:p>
    <w:p w:rsidR="00F90ED7" w:rsidRDefault="00F90ED7" w:rsidP="001A1607"/>
    <w:p w:rsidR="00F90ED7" w:rsidRDefault="00CC3677" w:rsidP="00DC6F63">
      <w:pPr>
        <w:pStyle w:val="ListParagraph"/>
        <w:numPr>
          <w:ilvl w:val="0"/>
          <w:numId w:val="19"/>
        </w:numPr>
      </w:pPr>
      <w:r>
        <w:t>T</w:t>
      </w:r>
      <w:r w:rsidR="009D2336">
        <w:t xml:space="preserve">he panel did not </w:t>
      </w:r>
      <w:r w:rsidR="00934734">
        <w:t>consider that sufficient information is available on</w:t>
      </w:r>
      <w:r w:rsidR="009D2336">
        <w:t xml:space="preserve"> the technique, in particular the process used to select against the recombination suppressing transgene so that it is not present in the </w:t>
      </w:r>
      <w:r w:rsidR="00584EFC">
        <w:t>DH</w:t>
      </w:r>
      <w:r w:rsidR="009D2336">
        <w:t xml:space="preserve"> parental lines used to re-create the genotype of the original starting plant.</w:t>
      </w:r>
      <w:r w:rsidR="005C13E4">
        <w:t xml:space="preserve"> The full technical details of this process do not appear to have been </w:t>
      </w:r>
      <w:r w:rsidR="00934734">
        <w:t xml:space="preserve">adequately </w:t>
      </w:r>
      <w:r w:rsidR="005C13E4">
        <w:t>described in the literature.</w:t>
      </w:r>
      <w:r w:rsidR="00E67127">
        <w:t xml:space="preserve"> It was speculated that for the process to work it would require the use of more than one transgenic event but it was still unclear to the panel how the </w:t>
      </w:r>
      <w:r w:rsidR="00584EFC">
        <w:t xml:space="preserve">exact </w:t>
      </w:r>
      <w:r w:rsidR="00E67127">
        <w:t xml:space="preserve">genotype of the starting plant </w:t>
      </w:r>
      <w:r w:rsidR="00584EFC">
        <w:t>could be reconstituted</w:t>
      </w:r>
      <w:r w:rsidR="00E67127">
        <w:t>.</w:t>
      </w:r>
    </w:p>
    <w:p w:rsidR="002F033A" w:rsidRDefault="002F033A" w:rsidP="002F033A">
      <w:pPr>
        <w:pStyle w:val="ListParagraph"/>
        <w:ind w:left="360"/>
      </w:pPr>
    </w:p>
    <w:p w:rsidR="00E67127" w:rsidRPr="002F033A" w:rsidRDefault="00654A7B" w:rsidP="00DC6F63">
      <w:pPr>
        <w:pStyle w:val="ListParagraph"/>
        <w:numPr>
          <w:ilvl w:val="0"/>
          <w:numId w:val="19"/>
        </w:numPr>
      </w:pPr>
      <w:r>
        <w:t xml:space="preserve">If the recombination suppressing transgene </w:t>
      </w:r>
      <w:r w:rsidR="00425FBB">
        <w:t xml:space="preserve">(if used) </w:t>
      </w:r>
      <w:r>
        <w:t xml:space="preserve">is successfully removed in the establishment of the ‘parental’ lines then the technique </w:t>
      </w:r>
      <w:r w:rsidR="00CC3677">
        <w:t>can be considered</w:t>
      </w:r>
      <w:r>
        <w:t xml:space="preserve"> analogous to SPT – </w:t>
      </w:r>
      <w:r w:rsidR="00AB6AB3">
        <w:t>that is,</w:t>
      </w:r>
      <w:r>
        <w:t xml:space="preserve"> it involves the use of gene technology in the development of an early ancestor but the line ultimately used for food production no longer has the transgene present. The</w:t>
      </w:r>
      <w:r w:rsidR="00425FBB">
        <w:t xml:space="preserve"> panel noted the transgene </w:t>
      </w:r>
      <w:r>
        <w:t xml:space="preserve">should </w:t>
      </w:r>
      <w:r w:rsidR="00425FBB">
        <w:t xml:space="preserve">leave </w:t>
      </w:r>
      <w:r>
        <w:t>no</w:t>
      </w:r>
      <w:r w:rsidR="00425FBB">
        <w:t xml:space="preserve"> genetic</w:t>
      </w:r>
      <w:r>
        <w:t xml:space="preserve"> ‘mark’ as the whole chromosome containing the transgene would be selected against.</w:t>
      </w:r>
      <w:r w:rsidR="002D02E8">
        <w:t xml:space="preserve"> </w:t>
      </w:r>
      <w:r w:rsidR="002D02E8">
        <w:rPr>
          <w:lang w:val="en-US"/>
        </w:rPr>
        <w:t>One difference to SPT would be that the use of the transgene, assuming it is successfully removed, would be contained to the laboratory stages – there would be no field production of the transgenic ancestral lines (the double haploids); this would all take place in the glass house with presumably the transgenic plants not taken to the field.</w:t>
      </w:r>
    </w:p>
    <w:p w:rsidR="002F033A" w:rsidRPr="00713EC7" w:rsidRDefault="002F033A" w:rsidP="002F033A"/>
    <w:p w:rsidR="00CC3677" w:rsidRPr="00CC3677" w:rsidRDefault="009748ED" w:rsidP="00DC6F63">
      <w:pPr>
        <w:pStyle w:val="ListParagraph"/>
        <w:numPr>
          <w:ilvl w:val="0"/>
          <w:numId w:val="19"/>
        </w:numPr>
      </w:pPr>
      <w:r>
        <w:t xml:space="preserve">The panel also briefly discussed </w:t>
      </w:r>
      <w:r w:rsidR="008E0449">
        <w:t xml:space="preserve">accelerated breeding following induction of </w:t>
      </w:r>
      <w:r>
        <w:t xml:space="preserve">early flowering as another technique where gene technology </w:t>
      </w:r>
      <w:r w:rsidR="00425FBB">
        <w:t xml:space="preserve">can be </w:t>
      </w:r>
      <w:r>
        <w:t xml:space="preserve">used in an early breeding stage. </w:t>
      </w:r>
      <w:r>
        <w:rPr>
          <w:lang w:val="en-US"/>
        </w:rPr>
        <w:t xml:space="preserve">For crops that take a long time to flower one of the ways of accelerating </w:t>
      </w:r>
      <w:r w:rsidR="00AC0B7B">
        <w:rPr>
          <w:lang w:val="en-US"/>
        </w:rPr>
        <w:t xml:space="preserve">the </w:t>
      </w:r>
      <w:r>
        <w:rPr>
          <w:lang w:val="en-US"/>
        </w:rPr>
        <w:t xml:space="preserve">breeding </w:t>
      </w:r>
      <w:r w:rsidR="00AC0B7B">
        <w:rPr>
          <w:lang w:val="en-US"/>
        </w:rPr>
        <w:t xml:space="preserve">process </w:t>
      </w:r>
      <w:r>
        <w:rPr>
          <w:lang w:val="en-US"/>
        </w:rPr>
        <w:t xml:space="preserve">is to </w:t>
      </w:r>
      <w:r w:rsidR="00AC0B7B">
        <w:rPr>
          <w:lang w:val="en-US"/>
        </w:rPr>
        <w:t xml:space="preserve">genetically modify </w:t>
      </w:r>
      <w:r>
        <w:rPr>
          <w:lang w:val="en-US"/>
        </w:rPr>
        <w:t>them to flower early</w:t>
      </w:r>
      <w:r w:rsidR="00AC0B7B">
        <w:rPr>
          <w:lang w:val="en-US"/>
        </w:rPr>
        <w:t xml:space="preserve"> and thus significantly shorten generation times. F</w:t>
      </w:r>
      <w:r>
        <w:rPr>
          <w:lang w:val="en-US"/>
        </w:rPr>
        <w:t>or example</w:t>
      </w:r>
      <w:r w:rsidR="00AC0B7B">
        <w:rPr>
          <w:lang w:val="en-US"/>
        </w:rPr>
        <w:t>,</w:t>
      </w:r>
      <w:r>
        <w:rPr>
          <w:lang w:val="en-US"/>
        </w:rPr>
        <w:t xml:space="preserve"> apples or plums </w:t>
      </w:r>
      <w:r w:rsidR="00AC0B7B">
        <w:rPr>
          <w:lang w:val="en-US"/>
        </w:rPr>
        <w:t xml:space="preserve">can be made to </w:t>
      </w:r>
      <w:r>
        <w:rPr>
          <w:lang w:val="en-US"/>
        </w:rPr>
        <w:t xml:space="preserve">flower in 6 months which means </w:t>
      </w:r>
      <w:r w:rsidR="006C0898">
        <w:rPr>
          <w:lang w:val="en-US"/>
        </w:rPr>
        <w:t>shortened</w:t>
      </w:r>
      <w:r>
        <w:rPr>
          <w:lang w:val="en-US"/>
        </w:rPr>
        <w:t xml:space="preserve"> breeding cycles but at the end of the breeding </w:t>
      </w:r>
      <w:r w:rsidR="004B269D">
        <w:rPr>
          <w:lang w:val="en-US"/>
        </w:rPr>
        <w:t xml:space="preserve">process </w:t>
      </w:r>
      <w:r>
        <w:rPr>
          <w:lang w:val="en-US"/>
        </w:rPr>
        <w:t xml:space="preserve">the early flowering trait </w:t>
      </w:r>
      <w:r w:rsidR="004B269D">
        <w:rPr>
          <w:lang w:val="en-US"/>
        </w:rPr>
        <w:t xml:space="preserve">is selected away </w:t>
      </w:r>
      <w:r>
        <w:rPr>
          <w:lang w:val="en-US"/>
        </w:rPr>
        <w:t xml:space="preserve">so the transgene is no longer present in the lines </w:t>
      </w:r>
      <w:r w:rsidR="00CC3677">
        <w:rPr>
          <w:lang w:val="en-US"/>
        </w:rPr>
        <w:t>used for commercial production.</w:t>
      </w:r>
    </w:p>
    <w:p w:rsidR="00CC3677" w:rsidRPr="00CC3677" w:rsidRDefault="00CC3677" w:rsidP="00CC3677">
      <w:pPr>
        <w:pStyle w:val="ListParagraph"/>
        <w:rPr>
          <w:lang w:val="en-US"/>
        </w:rPr>
      </w:pPr>
    </w:p>
    <w:p w:rsidR="002F033A" w:rsidRPr="002F033A" w:rsidRDefault="007F54B4" w:rsidP="00DC6F63">
      <w:pPr>
        <w:pStyle w:val="ListParagraph"/>
        <w:numPr>
          <w:ilvl w:val="0"/>
          <w:numId w:val="19"/>
        </w:numPr>
      </w:pPr>
      <w:r>
        <w:rPr>
          <w:lang w:val="en-US"/>
        </w:rPr>
        <w:t xml:space="preserve">The panel discussed that it would be possible to develop a guiding principle </w:t>
      </w:r>
      <w:r w:rsidR="001B12E5">
        <w:rPr>
          <w:lang w:val="en-US"/>
        </w:rPr>
        <w:t xml:space="preserve">applicable to </w:t>
      </w:r>
      <w:r>
        <w:rPr>
          <w:lang w:val="en-US"/>
        </w:rPr>
        <w:t xml:space="preserve">these types of technologies </w:t>
      </w:r>
      <w:r w:rsidR="00CC3677">
        <w:rPr>
          <w:lang w:val="en-US"/>
        </w:rPr>
        <w:t xml:space="preserve">(eg SPT, reverse breeding, </w:t>
      </w:r>
      <w:r w:rsidR="001B12E5">
        <w:rPr>
          <w:lang w:val="en-US"/>
        </w:rPr>
        <w:t xml:space="preserve">accelerated breeding following induction of </w:t>
      </w:r>
      <w:r w:rsidR="00CC3677">
        <w:rPr>
          <w:lang w:val="en-US"/>
        </w:rPr>
        <w:t xml:space="preserve">early flowering) that distinguishes </w:t>
      </w:r>
      <w:r w:rsidR="006C0898">
        <w:rPr>
          <w:lang w:val="en-US"/>
        </w:rPr>
        <w:t>them from</w:t>
      </w:r>
      <w:r w:rsidR="00CC3677">
        <w:rPr>
          <w:lang w:val="en-US"/>
        </w:rPr>
        <w:t xml:space="preserve"> those</w:t>
      </w:r>
      <w:r>
        <w:rPr>
          <w:lang w:val="en-US"/>
        </w:rPr>
        <w:t xml:space="preserve"> </w:t>
      </w:r>
      <w:r w:rsidR="00CC3677">
        <w:rPr>
          <w:lang w:val="en-US"/>
        </w:rPr>
        <w:t xml:space="preserve">techniques </w:t>
      </w:r>
      <w:r>
        <w:rPr>
          <w:lang w:val="en-US"/>
        </w:rPr>
        <w:t>where the actual food production lines are transgenic</w:t>
      </w:r>
      <w:r w:rsidR="00CC3677">
        <w:rPr>
          <w:lang w:val="en-US"/>
        </w:rPr>
        <w:t>.</w:t>
      </w:r>
      <w:r>
        <w:rPr>
          <w:lang w:val="en-US"/>
        </w:rPr>
        <w:t xml:space="preserve"> If that were to be done some guidelines </w:t>
      </w:r>
      <w:r w:rsidR="001B12E5">
        <w:rPr>
          <w:lang w:val="en-US"/>
        </w:rPr>
        <w:t xml:space="preserve">would need to be </w:t>
      </w:r>
      <w:r>
        <w:rPr>
          <w:lang w:val="en-US"/>
        </w:rPr>
        <w:t xml:space="preserve">established </w:t>
      </w:r>
      <w:r w:rsidR="001B12E5">
        <w:rPr>
          <w:lang w:val="en-US"/>
        </w:rPr>
        <w:t xml:space="preserve">regarding </w:t>
      </w:r>
      <w:r w:rsidR="00CC3677">
        <w:rPr>
          <w:lang w:val="en-US"/>
        </w:rPr>
        <w:t>the</w:t>
      </w:r>
      <w:r>
        <w:rPr>
          <w:lang w:val="en-US"/>
        </w:rPr>
        <w:t xml:space="preserve"> </w:t>
      </w:r>
      <w:r w:rsidR="00CC3677">
        <w:rPr>
          <w:lang w:val="en-US"/>
        </w:rPr>
        <w:t>type</w:t>
      </w:r>
      <w:r>
        <w:rPr>
          <w:lang w:val="en-US"/>
        </w:rPr>
        <w:t xml:space="preserve"> of information FSANZ would seek to </w:t>
      </w:r>
      <w:r w:rsidR="001B12E5">
        <w:rPr>
          <w:lang w:val="en-US"/>
        </w:rPr>
        <w:t>demonstrate that no</w:t>
      </w:r>
      <w:r>
        <w:rPr>
          <w:lang w:val="en-US"/>
        </w:rPr>
        <w:t xml:space="preserve"> transgene</w:t>
      </w:r>
      <w:r w:rsidR="001B12E5">
        <w:rPr>
          <w:lang w:val="en-US"/>
        </w:rPr>
        <w:t>s are carried through</w:t>
      </w:r>
      <w:r>
        <w:rPr>
          <w:lang w:val="en-US"/>
        </w:rPr>
        <w:t xml:space="preserve"> into the field production system. </w:t>
      </w:r>
      <w:r w:rsidR="001B12E5">
        <w:rPr>
          <w:lang w:val="en-US"/>
        </w:rPr>
        <w:t xml:space="preserve">Although the potential risks depend on the different techniques and the genes involved, </w:t>
      </w:r>
      <w:r>
        <w:rPr>
          <w:lang w:val="en-US"/>
        </w:rPr>
        <w:t xml:space="preserve">it may be possible to outline some </w:t>
      </w:r>
      <w:r w:rsidR="00DE679E">
        <w:rPr>
          <w:lang w:val="en-US"/>
        </w:rPr>
        <w:t xml:space="preserve">common </w:t>
      </w:r>
      <w:r w:rsidR="00CC3677">
        <w:rPr>
          <w:lang w:val="en-US"/>
        </w:rPr>
        <w:t>criteria</w:t>
      </w:r>
      <w:r>
        <w:rPr>
          <w:lang w:val="en-US"/>
        </w:rPr>
        <w:t xml:space="preserve"> for ensur</w:t>
      </w:r>
      <w:r w:rsidR="00DE679E">
        <w:rPr>
          <w:lang w:val="en-US"/>
        </w:rPr>
        <w:t>ing</w:t>
      </w:r>
      <w:r>
        <w:rPr>
          <w:lang w:val="en-US"/>
        </w:rPr>
        <w:t xml:space="preserve"> there is a complete barrier/genetic separation between the early transgenic breeding lines and the non-transgenic food production lines.</w:t>
      </w:r>
    </w:p>
    <w:p w:rsidR="002F033A" w:rsidRPr="002F033A" w:rsidRDefault="002F033A" w:rsidP="002F033A"/>
    <w:p w:rsidR="00713EC7" w:rsidRDefault="002F033A" w:rsidP="00DC6F63">
      <w:pPr>
        <w:pStyle w:val="ListParagraph"/>
        <w:numPr>
          <w:ilvl w:val="0"/>
          <w:numId w:val="19"/>
        </w:numPr>
      </w:pPr>
      <w:r>
        <w:rPr>
          <w:lang w:val="en-US"/>
        </w:rPr>
        <w:t>In terms of any safety issues including unintended effects, the panel did not consider there to be any particular hazards associated with the GM component of the technique, although further clarification around removal of the transgene would be necessary.</w:t>
      </w:r>
      <w:r w:rsidR="007F54B4">
        <w:rPr>
          <w:lang w:val="en-US"/>
        </w:rPr>
        <w:t xml:space="preserve"> </w:t>
      </w:r>
    </w:p>
    <w:p w:rsidR="008454C4" w:rsidRDefault="008454C4" w:rsidP="008454C4">
      <w:pPr>
        <w:pStyle w:val="Heading5"/>
      </w:pPr>
      <w:r>
        <w:t xml:space="preserve">Conclusions </w:t>
      </w:r>
    </w:p>
    <w:p w:rsidR="00162CF1" w:rsidRDefault="00162CF1" w:rsidP="00162CF1">
      <w:pPr>
        <w:rPr>
          <w:rFonts w:cs="Arial"/>
        </w:rPr>
      </w:pPr>
      <w:r>
        <w:rPr>
          <w:rFonts w:cs="Arial"/>
        </w:rPr>
        <w:t>The panel concluded the following:</w:t>
      </w:r>
    </w:p>
    <w:p w:rsidR="00162CF1" w:rsidRDefault="00162CF1" w:rsidP="00162CF1">
      <w:pPr>
        <w:pStyle w:val="ListParagraph"/>
        <w:ind w:left="360"/>
        <w:rPr>
          <w:rFonts w:cs="Arial"/>
        </w:rPr>
      </w:pPr>
    </w:p>
    <w:p w:rsidR="00162CF1" w:rsidRDefault="00743F80" w:rsidP="00DC6F63">
      <w:pPr>
        <w:pStyle w:val="ListParagraph"/>
        <w:numPr>
          <w:ilvl w:val="0"/>
          <w:numId w:val="4"/>
        </w:numPr>
        <w:ind w:left="360"/>
        <w:rPr>
          <w:rFonts w:cs="Arial"/>
        </w:rPr>
      </w:pPr>
      <w:r>
        <w:rPr>
          <w:rFonts w:cs="Arial"/>
        </w:rPr>
        <w:t xml:space="preserve">Parallels exist between reverse breeding and SPT, in that both involve the use of gene technology at an early stage of the breeding process but the final food producing lines are non-transgenic. </w:t>
      </w:r>
      <w:r w:rsidR="002B28CC">
        <w:rPr>
          <w:rFonts w:cs="Arial"/>
        </w:rPr>
        <w:t>In the case of reverse breeding, f</w:t>
      </w:r>
      <w:r w:rsidR="00715A85" w:rsidRPr="00743F80">
        <w:rPr>
          <w:rFonts w:cs="Arial"/>
        </w:rPr>
        <w:t xml:space="preserve">urther information </w:t>
      </w:r>
      <w:r w:rsidR="002B28CC">
        <w:rPr>
          <w:rFonts w:cs="Arial"/>
        </w:rPr>
        <w:t>is</w:t>
      </w:r>
      <w:r w:rsidR="00715A85" w:rsidRPr="00743F80">
        <w:rPr>
          <w:rFonts w:cs="Arial"/>
        </w:rPr>
        <w:t xml:space="preserve"> required on how transgene-free end products are produced</w:t>
      </w:r>
      <w:r w:rsidR="00294776" w:rsidRPr="00743F80">
        <w:rPr>
          <w:rFonts w:cs="Arial"/>
        </w:rPr>
        <w:t>,</w:t>
      </w:r>
      <w:r w:rsidR="00715A85" w:rsidRPr="00743F80">
        <w:rPr>
          <w:rFonts w:cs="Arial"/>
        </w:rPr>
        <w:t xml:space="preserve"> </w:t>
      </w:r>
      <w:r w:rsidR="00BE674E" w:rsidRPr="00743F80">
        <w:rPr>
          <w:rFonts w:cs="Arial"/>
        </w:rPr>
        <w:t>as well as the rel</w:t>
      </w:r>
      <w:r w:rsidR="00715A85" w:rsidRPr="00743F80">
        <w:rPr>
          <w:rFonts w:cs="Arial"/>
        </w:rPr>
        <w:t xml:space="preserve">iability of the </w:t>
      </w:r>
      <w:r w:rsidR="00BE674E" w:rsidRPr="00743F80">
        <w:rPr>
          <w:rFonts w:cs="Arial"/>
        </w:rPr>
        <w:t xml:space="preserve">removal </w:t>
      </w:r>
      <w:r w:rsidR="00715A85" w:rsidRPr="00743F80">
        <w:rPr>
          <w:rFonts w:cs="Arial"/>
        </w:rPr>
        <w:t>process</w:t>
      </w:r>
      <w:r w:rsidR="00162CF1" w:rsidRPr="00743F80">
        <w:rPr>
          <w:rFonts w:cs="Arial"/>
        </w:rPr>
        <w:t>.</w:t>
      </w:r>
      <w:r w:rsidRPr="00743F80">
        <w:rPr>
          <w:rFonts w:cs="Arial"/>
        </w:rPr>
        <w:t xml:space="preserve"> </w:t>
      </w:r>
      <w:r w:rsidR="00B51DEF">
        <w:rPr>
          <w:rFonts w:cs="Arial"/>
        </w:rPr>
        <w:t xml:space="preserve"> T</w:t>
      </w:r>
      <w:r w:rsidR="006000CF" w:rsidRPr="00743F80">
        <w:rPr>
          <w:rFonts w:cs="Arial"/>
        </w:rPr>
        <w:t>he</w:t>
      </w:r>
      <w:r w:rsidRPr="00743F80">
        <w:rPr>
          <w:rFonts w:cs="Arial"/>
        </w:rPr>
        <w:t>re do</w:t>
      </w:r>
      <w:r w:rsidR="00AB6AB3">
        <w:rPr>
          <w:rFonts w:cs="Arial"/>
        </w:rPr>
        <w:t>es</w:t>
      </w:r>
      <w:r w:rsidRPr="00743F80">
        <w:rPr>
          <w:rFonts w:cs="Arial"/>
        </w:rPr>
        <w:t xml:space="preserve"> not appear to be any particular hazards</w:t>
      </w:r>
      <w:r w:rsidR="006000CF" w:rsidRPr="00743F80">
        <w:rPr>
          <w:rFonts w:cs="Arial"/>
        </w:rPr>
        <w:t xml:space="preserve"> </w:t>
      </w:r>
      <w:r w:rsidRPr="00D75CAA">
        <w:rPr>
          <w:rFonts w:cs="Arial"/>
        </w:rPr>
        <w:t xml:space="preserve">associated with the GM component </w:t>
      </w:r>
      <w:r w:rsidR="006000CF" w:rsidRPr="00D75CAA">
        <w:rPr>
          <w:rFonts w:cs="Arial"/>
        </w:rPr>
        <w:t xml:space="preserve">of </w:t>
      </w:r>
      <w:r w:rsidRPr="00D75CAA">
        <w:rPr>
          <w:rFonts w:cs="Arial"/>
        </w:rPr>
        <w:t xml:space="preserve">the </w:t>
      </w:r>
      <w:r w:rsidR="002B28CC">
        <w:rPr>
          <w:rFonts w:cs="Arial"/>
        </w:rPr>
        <w:t xml:space="preserve">reverse breeding </w:t>
      </w:r>
      <w:r w:rsidR="006000CF" w:rsidRPr="00D75CAA">
        <w:rPr>
          <w:rFonts w:cs="Arial"/>
        </w:rPr>
        <w:t>technique</w:t>
      </w:r>
      <w:r w:rsidR="006000CF" w:rsidRPr="008B5FBC">
        <w:rPr>
          <w:rFonts w:cs="Arial"/>
        </w:rPr>
        <w:t>.</w:t>
      </w:r>
    </w:p>
    <w:p w:rsidR="00675B88" w:rsidRDefault="00675B88" w:rsidP="00675B88">
      <w:pPr>
        <w:pStyle w:val="ListParagraph"/>
        <w:ind w:left="360"/>
        <w:rPr>
          <w:rFonts w:cs="Arial"/>
        </w:rPr>
      </w:pPr>
    </w:p>
    <w:p w:rsidR="00675B88" w:rsidRPr="00A70D52" w:rsidRDefault="00675B88" w:rsidP="00DC6F63">
      <w:pPr>
        <w:pStyle w:val="ListParagraph"/>
        <w:numPr>
          <w:ilvl w:val="0"/>
          <w:numId w:val="4"/>
        </w:numPr>
        <w:ind w:left="360"/>
        <w:rPr>
          <w:rFonts w:cs="Arial"/>
        </w:rPr>
      </w:pPr>
      <w:r>
        <w:rPr>
          <w:rFonts w:cs="Arial"/>
        </w:rPr>
        <w:t>It would be useful to establish</w:t>
      </w:r>
      <w:r w:rsidRPr="006605EF">
        <w:rPr>
          <w:rFonts w:cs="Arial"/>
        </w:rPr>
        <w:t xml:space="preserve"> some criteria to assist the decision making process in relation to food derived from non-GM plant lines </w:t>
      </w:r>
      <w:r>
        <w:rPr>
          <w:rFonts w:cs="Arial"/>
        </w:rPr>
        <w:t xml:space="preserve">produced using techniques such as reverse breeding and SPT which involve the use of transgenic </w:t>
      </w:r>
      <w:r w:rsidRPr="006605EF">
        <w:rPr>
          <w:rFonts w:cs="Arial"/>
        </w:rPr>
        <w:t xml:space="preserve">lines </w:t>
      </w:r>
      <w:r>
        <w:rPr>
          <w:rFonts w:cs="Arial"/>
        </w:rPr>
        <w:t>in earlier generations</w:t>
      </w:r>
      <w:r w:rsidR="00364C85">
        <w:rPr>
          <w:rFonts w:cs="Arial"/>
        </w:rPr>
        <w:t>.</w:t>
      </w:r>
    </w:p>
    <w:p w:rsidR="006000CF" w:rsidRDefault="006000CF" w:rsidP="006000CF">
      <w:pPr>
        <w:pStyle w:val="ListParagraph"/>
        <w:ind w:left="360"/>
        <w:rPr>
          <w:rFonts w:cs="Arial"/>
        </w:rPr>
      </w:pPr>
    </w:p>
    <w:p w:rsidR="000F4149" w:rsidRPr="00950E78" w:rsidRDefault="000F4149" w:rsidP="00984BE1">
      <w:pPr>
        <w:pStyle w:val="Heading3"/>
      </w:pPr>
      <w:bookmarkStart w:id="6" w:name="_Toc350235768"/>
      <w:r w:rsidRPr="00950E78">
        <w:t>Cisgenesis and Intragenesis</w:t>
      </w:r>
      <w:bookmarkEnd w:id="6"/>
    </w:p>
    <w:p w:rsidR="00950E78" w:rsidRPr="00950E78" w:rsidRDefault="00C45EBD" w:rsidP="005B669C">
      <w:pPr>
        <w:pStyle w:val="Heading5"/>
      </w:pPr>
      <w:r>
        <w:t>Overview</w:t>
      </w:r>
      <w:r w:rsidRPr="00950E78">
        <w:t xml:space="preserve"> </w:t>
      </w:r>
      <w:r w:rsidR="00950E78" w:rsidRPr="00950E78">
        <w:t xml:space="preserve">of </w:t>
      </w:r>
      <w:r w:rsidR="009134AE">
        <w:t>the technique</w:t>
      </w:r>
    </w:p>
    <w:p w:rsidR="00A3225D" w:rsidRDefault="00A3225D" w:rsidP="005B669C">
      <w:pPr>
        <w:rPr>
          <w:rFonts w:cs="Arial"/>
        </w:rPr>
      </w:pPr>
      <w:r>
        <w:rPr>
          <w:rFonts w:cs="Arial"/>
        </w:rPr>
        <w:t xml:space="preserve">Cisgenesis involves the production of a GM plant using donor DNA from the same species or a cross-compatible species. </w:t>
      </w:r>
      <w:r w:rsidR="00812260">
        <w:rPr>
          <w:rFonts w:cs="Arial"/>
        </w:rPr>
        <w:t>To qualify as cisgenic, t</w:t>
      </w:r>
      <w:r>
        <w:rPr>
          <w:rFonts w:cs="Arial"/>
        </w:rPr>
        <w:t>he introduced DNA</w:t>
      </w:r>
      <w:r w:rsidR="00812260">
        <w:rPr>
          <w:rFonts w:cs="Arial"/>
        </w:rPr>
        <w:t xml:space="preserve"> must comprise a natural genomic fragment containing the gene of interest with its own introns as well as regulatory sequences (promoter, terminator).</w:t>
      </w:r>
      <w:r w:rsidR="00A21DEF">
        <w:rPr>
          <w:rFonts w:cs="Arial"/>
        </w:rPr>
        <w:t xml:space="preserve"> The introduced DNA is in principle free of vector </w:t>
      </w:r>
      <w:r w:rsidR="00586457">
        <w:rPr>
          <w:rFonts w:cs="Arial"/>
        </w:rPr>
        <w:t>DNA;</w:t>
      </w:r>
      <w:r w:rsidR="00A21DEF">
        <w:rPr>
          <w:rFonts w:cs="Arial"/>
        </w:rPr>
        <w:t xml:space="preserve"> however the exception is T-DNA border sequences flanking the cisgenic DNA where </w:t>
      </w:r>
      <w:r w:rsidR="00A21DEF" w:rsidRPr="00C257C1">
        <w:rPr>
          <w:rFonts w:cs="Arial"/>
          <w:i/>
        </w:rPr>
        <w:t>Agrobacterium</w:t>
      </w:r>
      <w:r w:rsidR="00A21DEF">
        <w:rPr>
          <w:rFonts w:cs="Arial"/>
        </w:rPr>
        <w:t xml:space="preserve">-mediated transformation has been used. Where microprojectile bombardment using linearised DNA has been used, no </w:t>
      </w:r>
      <w:r w:rsidR="00891F6A">
        <w:rPr>
          <w:rFonts w:cs="Arial"/>
        </w:rPr>
        <w:t xml:space="preserve">extraneous </w:t>
      </w:r>
      <w:r w:rsidR="00A21DEF">
        <w:rPr>
          <w:rFonts w:cs="Arial"/>
        </w:rPr>
        <w:t>sequences will be present.</w:t>
      </w:r>
    </w:p>
    <w:p w:rsidR="00A21DEF" w:rsidRDefault="00A21DEF" w:rsidP="005B669C">
      <w:pPr>
        <w:rPr>
          <w:rFonts w:cs="Arial"/>
        </w:rPr>
      </w:pPr>
    </w:p>
    <w:p w:rsidR="00A21DEF" w:rsidRDefault="00A21DEF" w:rsidP="005B669C">
      <w:pPr>
        <w:rPr>
          <w:rFonts w:cs="Arial"/>
        </w:rPr>
      </w:pPr>
      <w:r>
        <w:rPr>
          <w:rFonts w:cs="Arial"/>
        </w:rPr>
        <w:t>Intragenesis also involves the use of donor DNA from the same or a cross-compatible species, however, new combinations of DNA fragments are acceptable, for example using non-native promoters</w:t>
      </w:r>
      <w:r w:rsidR="005D4342">
        <w:rPr>
          <w:rFonts w:cs="Arial"/>
        </w:rPr>
        <w:t xml:space="preserve"> or introducing RNAi</w:t>
      </w:r>
      <w:r>
        <w:rPr>
          <w:rFonts w:cs="Arial"/>
        </w:rPr>
        <w:t>.</w:t>
      </w:r>
    </w:p>
    <w:p w:rsidR="00C257C1" w:rsidRDefault="00C257C1" w:rsidP="005B669C">
      <w:pPr>
        <w:rPr>
          <w:rFonts w:cs="Arial"/>
        </w:rPr>
      </w:pPr>
    </w:p>
    <w:p w:rsidR="00C257C1" w:rsidRDefault="00C257C1" w:rsidP="005B669C">
      <w:pPr>
        <w:rPr>
          <w:rFonts w:cs="Arial"/>
        </w:rPr>
      </w:pPr>
      <w:r>
        <w:rPr>
          <w:rFonts w:cs="Arial"/>
        </w:rPr>
        <w:t xml:space="preserve">Both </w:t>
      </w:r>
      <w:r w:rsidR="00D75CAA">
        <w:rPr>
          <w:rFonts w:cs="Arial"/>
        </w:rPr>
        <w:t>techniques</w:t>
      </w:r>
      <w:r>
        <w:rPr>
          <w:rFonts w:cs="Arial"/>
        </w:rPr>
        <w:t xml:space="preserve"> generally involve the use of a selectable marker gene, which will need to be removed unless it is itself a cisgene or intragene. Removal can be by co-transformation and subsequent </w:t>
      </w:r>
      <w:r w:rsidR="00B37476">
        <w:rPr>
          <w:rFonts w:cs="Arial"/>
        </w:rPr>
        <w:t xml:space="preserve">selection </w:t>
      </w:r>
      <w:r>
        <w:rPr>
          <w:rFonts w:cs="Arial"/>
        </w:rPr>
        <w:t>away or via an excisable system. In the latter case there will usually be some residual DNA remaining at the recombination site.</w:t>
      </w:r>
      <w:r w:rsidR="00907548">
        <w:rPr>
          <w:rFonts w:cs="Arial"/>
        </w:rPr>
        <w:t xml:space="preserve"> However, even if there is no footprint remaining from the transformation process, the introduced gene will be</w:t>
      </w:r>
      <w:r w:rsidR="00A53392">
        <w:rPr>
          <w:rFonts w:cs="Arial"/>
        </w:rPr>
        <w:t xml:space="preserve"> </w:t>
      </w:r>
      <w:r w:rsidR="00085DEC">
        <w:rPr>
          <w:rFonts w:cs="Arial"/>
        </w:rPr>
        <w:t xml:space="preserve">located </w:t>
      </w:r>
      <w:r w:rsidR="00A53392">
        <w:rPr>
          <w:rFonts w:cs="Arial"/>
        </w:rPr>
        <w:t>at a n</w:t>
      </w:r>
      <w:r w:rsidR="0041420F">
        <w:rPr>
          <w:rFonts w:cs="Arial"/>
        </w:rPr>
        <w:t>ovel locus in the geno</w:t>
      </w:r>
      <w:r w:rsidR="00474F24">
        <w:rPr>
          <w:rFonts w:cs="Arial"/>
        </w:rPr>
        <w:t>me (i</w:t>
      </w:r>
      <w:r w:rsidR="0041420F">
        <w:rPr>
          <w:rFonts w:cs="Arial"/>
        </w:rPr>
        <w:t xml:space="preserve">e </w:t>
      </w:r>
      <w:r w:rsidR="00A53392">
        <w:rPr>
          <w:rFonts w:cs="Arial"/>
        </w:rPr>
        <w:t xml:space="preserve">the </w:t>
      </w:r>
      <w:r w:rsidR="00586457">
        <w:rPr>
          <w:rFonts w:cs="Arial"/>
        </w:rPr>
        <w:t xml:space="preserve">transformation </w:t>
      </w:r>
      <w:r w:rsidR="00A53392">
        <w:rPr>
          <w:rFonts w:cs="Arial"/>
        </w:rPr>
        <w:t>event</w:t>
      </w:r>
      <w:r w:rsidR="00085DEC">
        <w:rPr>
          <w:rFonts w:cs="Arial"/>
        </w:rPr>
        <w:t xml:space="preserve"> will be detectable</w:t>
      </w:r>
      <w:r w:rsidR="00A53392">
        <w:rPr>
          <w:rFonts w:cs="Arial"/>
        </w:rPr>
        <w:t>)</w:t>
      </w:r>
      <w:r w:rsidR="0041420F">
        <w:rPr>
          <w:rFonts w:cs="Arial"/>
        </w:rPr>
        <w:t>.</w:t>
      </w:r>
    </w:p>
    <w:p w:rsidR="00353ECC" w:rsidRDefault="00353ECC" w:rsidP="005B669C">
      <w:pPr>
        <w:rPr>
          <w:rFonts w:cs="Arial"/>
        </w:rPr>
      </w:pPr>
    </w:p>
    <w:p w:rsidR="00353ECC" w:rsidRDefault="00353ECC" w:rsidP="005B669C">
      <w:pPr>
        <w:rPr>
          <w:rFonts w:cs="Arial"/>
        </w:rPr>
      </w:pPr>
      <w:r>
        <w:rPr>
          <w:rFonts w:cs="Arial"/>
        </w:rPr>
        <w:t xml:space="preserve">Cisgenesis and intragenesis </w:t>
      </w:r>
      <w:r w:rsidR="002C7673">
        <w:rPr>
          <w:rFonts w:cs="Arial"/>
        </w:rPr>
        <w:t>have</w:t>
      </w:r>
      <w:r>
        <w:rPr>
          <w:rFonts w:cs="Arial"/>
        </w:rPr>
        <w:t xml:space="preserve"> become possible because of the large amount of genomic information that is now available from genome sequencing of the major crop plants. This means useful genes from within the same species can be identified and transferred to elite cultivars.</w:t>
      </w:r>
      <w:r w:rsidR="003D26A5">
        <w:rPr>
          <w:rFonts w:cs="Arial"/>
        </w:rPr>
        <w:t xml:space="preserve"> This is proving to be particularly useful in the development of improved cultivars that are vegetatively propagated. These are crops that are very difficult to breed – it takes a long time to introgress genes from wild species</w:t>
      </w:r>
      <w:r w:rsidR="00B00C10">
        <w:rPr>
          <w:rFonts w:cs="Arial"/>
        </w:rPr>
        <w:t xml:space="preserve"> (e.g. bananas, sugarcane, potatoes, strawberries, fruit crops such as apples, avocadoes)</w:t>
      </w:r>
      <w:r w:rsidR="0000762F">
        <w:rPr>
          <w:rFonts w:cs="Arial"/>
        </w:rPr>
        <w:t xml:space="preserve">. </w:t>
      </w:r>
      <w:r w:rsidR="002C7673">
        <w:rPr>
          <w:rFonts w:cs="Arial"/>
        </w:rPr>
        <w:t>The technique e</w:t>
      </w:r>
      <w:r w:rsidR="0000762F">
        <w:rPr>
          <w:rFonts w:cs="Arial"/>
        </w:rPr>
        <w:t xml:space="preserve">nables genes from related species to be introduced without having to go through </w:t>
      </w:r>
      <w:r w:rsidR="00691FDF">
        <w:rPr>
          <w:rFonts w:cs="Arial"/>
        </w:rPr>
        <w:t>a</w:t>
      </w:r>
      <w:r w:rsidR="0000762F">
        <w:rPr>
          <w:rFonts w:cs="Arial"/>
        </w:rPr>
        <w:t xml:space="preserve"> difficult </w:t>
      </w:r>
      <w:r w:rsidR="00123455">
        <w:rPr>
          <w:rFonts w:cs="Arial"/>
        </w:rPr>
        <w:t xml:space="preserve">and protracted </w:t>
      </w:r>
      <w:r w:rsidR="0000762F">
        <w:rPr>
          <w:rFonts w:cs="Arial"/>
        </w:rPr>
        <w:t>breeding process.</w:t>
      </w:r>
      <w:r w:rsidR="00907548">
        <w:rPr>
          <w:rFonts w:cs="Arial"/>
        </w:rPr>
        <w:t xml:space="preserve"> </w:t>
      </w:r>
      <w:r w:rsidR="00123455">
        <w:rPr>
          <w:rFonts w:cs="Arial"/>
        </w:rPr>
        <w:t>An</w:t>
      </w:r>
      <w:r w:rsidR="00907548">
        <w:rPr>
          <w:rFonts w:cs="Arial"/>
        </w:rPr>
        <w:t>other advantage is that it reduces linkage drag</w:t>
      </w:r>
      <w:r w:rsidR="001B768F">
        <w:rPr>
          <w:rStyle w:val="FootnoteReference"/>
          <w:rFonts w:cs="Arial"/>
        </w:rPr>
        <w:footnoteReference w:id="7"/>
      </w:r>
      <w:r w:rsidR="00907548">
        <w:rPr>
          <w:rFonts w:cs="Arial"/>
        </w:rPr>
        <w:t xml:space="preserve"> as only a single gene</w:t>
      </w:r>
      <w:r w:rsidR="00123455">
        <w:rPr>
          <w:rFonts w:cs="Arial"/>
        </w:rPr>
        <w:t xml:space="preserve"> is involved</w:t>
      </w:r>
      <w:r w:rsidR="002C7673">
        <w:rPr>
          <w:rFonts w:cs="Arial"/>
        </w:rPr>
        <w:t>. This</w:t>
      </w:r>
      <w:r w:rsidR="00907548">
        <w:rPr>
          <w:rFonts w:cs="Arial"/>
        </w:rPr>
        <w:t xml:space="preserve"> </w:t>
      </w:r>
      <w:r w:rsidR="002C7673">
        <w:rPr>
          <w:rFonts w:cs="Arial"/>
        </w:rPr>
        <w:t>also</w:t>
      </w:r>
      <w:r w:rsidR="00907548">
        <w:rPr>
          <w:rFonts w:cs="Arial"/>
        </w:rPr>
        <w:t xml:space="preserve"> applies to other crops that are </w:t>
      </w:r>
      <w:r w:rsidR="005B14C0">
        <w:rPr>
          <w:rFonts w:cs="Arial"/>
        </w:rPr>
        <w:t>easier</w:t>
      </w:r>
      <w:r w:rsidR="00907548">
        <w:rPr>
          <w:rFonts w:cs="Arial"/>
        </w:rPr>
        <w:t xml:space="preserve"> to breed.</w:t>
      </w:r>
    </w:p>
    <w:p w:rsidR="0041420F" w:rsidRDefault="0041420F" w:rsidP="005B669C">
      <w:pPr>
        <w:rPr>
          <w:rFonts w:cs="Arial"/>
        </w:rPr>
      </w:pPr>
    </w:p>
    <w:p w:rsidR="0041420F" w:rsidRDefault="0041420F" w:rsidP="005B669C">
      <w:pPr>
        <w:rPr>
          <w:rFonts w:cs="Arial"/>
        </w:rPr>
      </w:pPr>
      <w:r>
        <w:rPr>
          <w:rFonts w:cs="Arial"/>
        </w:rPr>
        <w:t xml:space="preserve">There are </w:t>
      </w:r>
      <w:r w:rsidR="002C7673">
        <w:rPr>
          <w:rFonts w:cs="Arial"/>
        </w:rPr>
        <w:t xml:space="preserve">a number of examples of cisgenic and intragenic crops </w:t>
      </w:r>
      <w:r w:rsidR="00D430E0">
        <w:rPr>
          <w:rFonts w:cs="Arial"/>
        </w:rPr>
        <w:t>that are near commercialisation. Apples with apple scab resistance</w:t>
      </w:r>
      <w:r w:rsidR="0054382D">
        <w:rPr>
          <w:rStyle w:val="FootnoteReference"/>
          <w:rFonts w:cs="Arial"/>
        </w:rPr>
        <w:footnoteReference w:id="8"/>
      </w:r>
      <w:r w:rsidR="00D430E0">
        <w:rPr>
          <w:rFonts w:cs="Arial"/>
        </w:rPr>
        <w:t xml:space="preserve"> </w:t>
      </w:r>
      <w:r w:rsidR="002C7673">
        <w:rPr>
          <w:rFonts w:cs="Arial"/>
        </w:rPr>
        <w:t>will be one of the first cisgenic crops to be commercialised</w:t>
      </w:r>
      <w:r w:rsidR="00D430E0">
        <w:rPr>
          <w:rFonts w:cs="Arial"/>
        </w:rPr>
        <w:t>. A</w:t>
      </w:r>
      <w:r w:rsidR="00123455">
        <w:rPr>
          <w:rFonts w:cs="Arial"/>
        </w:rPr>
        <w:t>n insect</w:t>
      </w:r>
      <w:r w:rsidR="00D430E0">
        <w:rPr>
          <w:rFonts w:cs="Arial"/>
        </w:rPr>
        <w:t xml:space="preserve"> resistance gene has been moved into that </w:t>
      </w:r>
      <w:r w:rsidR="00123455">
        <w:rPr>
          <w:rFonts w:cs="Arial"/>
        </w:rPr>
        <w:t>species together</w:t>
      </w:r>
      <w:r w:rsidR="00FF4131">
        <w:rPr>
          <w:rFonts w:cs="Arial"/>
        </w:rPr>
        <w:t xml:space="preserve"> </w:t>
      </w:r>
      <w:r w:rsidR="00D430E0">
        <w:rPr>
          <w:rFonts w:cs="Arial"/>
        </w:rPr>
        <w:t xml:space="preserve">with all its native regulatory elements plus an excisable selectable marker. These plants have been propagated and are presently undergoing </w:t>
      </w:r>
      <w:r w:rsidR="00EB6010">
        <w:rPr>
          <w:rFonts w:cs="Arial"/>
        </w:rPr>
        <w:t xml:space="preserve">assessment in the United States. </w:t>
      </w:r>
      <w:r w:rsidR="0007366F">
        <w:rPr>
          <w:rFonts w:cs="Arial"/>
        </w:rPr>
        <w:t>Cisgenic potatoes are being developed in the Netherlands, involving stacked genes for late blight resistance. There are also intragenic apples cu</w:t>
      </w:r>
      <w:r w:rsidR="002C7673">
        <w:rPr>
          <w:rFonts w:cs="Arial"/>
        </w:rPr>
        <w:t>rrently being assessed in the U</w:t>
      </w:r>
      <w:r w:rsidR="00EB6010">
        <w:rPr>
          <w:rFonts w:cs="Arial"/>
        </w:rPr>
        <w:t xml:space="preserve">nited </w:t>
      </w:r>
      <w:r w:rsidR="002C7673">
        <w:rPr>
          <w:rFonts w:cs="Arial"/>
        </w:rPr>
        <w:t>S</w:t>
      </w:r>
      <w:r w:rsidR="00EB6010">
        <w:rPr>
          <w:rFonts w:cs="Arial"/>
        </w:rPr>
        <w:t>tates</w:t>
      </w:r>
      <w:r w:rsidR="0007366F">
        <w:rPr>
          <w:rFonts w:cs="Arial"/>
        </w:rPr>
        <w:t xml:space="preserve"> – these are the</w:t>
      </w:r>
      <w:r w:rsidR="00FF4131">
        <w:rPr>
          <w:rFonts w:cs="Arial"/>
        </w:rPr>
        <w:t xml:space="preserve"> so-called</w:t>
      </w:r>
      <w:r w:rsidR="0007366F">
        <w:rPr>
          <w:rFonts w:cs="Arial"/>
        </w:rPr>
        <w:t xml:space="preserve"> “arctic” apples which are non-browning (</w:t>
      </w:r>
      <w:r w:rsidR="00FF4131">
        <w:rPr>
          <w:rFonts w:cs="Arial"/>
        </w:rPr>
        <w:t xml:space="preserve">due to </w:t>
      </w:r>
      <w:r w:rsidR="0007366F">
        <w:rPr>
          <w:rFonts w:cs="Arial"/>
        </w:rPr>
        <w:t>down regulat</w:t>
      </w:r>
      <w:r w:rsidR="00FF4131">
        <w:rPr>
          <w:rFonts w:cs="Arial"/>
        </w:rPr>
        <w:t>ion of the</w:t>
      </w:r>
      <w:r w:rsidR="0007366F">
        <w:rPr>
          <w:rFonts w:cs="Arial"/>
        </w:rPr>
        <w:t xml:space="preserve"> </w:t>
      </w:r>
      <w:r w:rsidR="00AB6AB3">
        <w:rPr>
          <w:rFonts w:cs="Arial"/>
        </w:rPr>
        <w:t xml:space="preserve">gene encoding </w:t>
      </w:r>
      <w:r w:rsidR="0007366F">
        <w:rPr>
          <w:rFonts w:cs="Arial"/>
        </w:rPr>
        <w:t>polyphenol oxidase)</w:t>
      </w:r>
      <w:r w:rsidR="00B90A2C">
        <w:rPr>
          <w:rFonts w:cs="Arial"/>
        </w:rPr>
        <w:t>.</w:t>
      </w:r>
    </w:p>
    <w:p w:rsidR="00891F6A" w:rsidRDefault="00891F6A" w:rsidP="00891F6A">
      <w:pPr>
        <w:rPr>
          <w:rFonts w:cs="Arial"/>
        </w:rPr>
      </w:pPr>
    </w:p>
    <w:p w:rsidR="00B90A2C" w:rsidRDefault="008002FF" w:rsidP="005B669C">
      <w:pPr>
        <w:rPr>
          <w:rFonts w:cs="Arial"/>
        </w:rPr>
      </w:pPr>
      <w:r>
        <w:rPr>
          <w:rFonts w:cs="Arial"/>
        </w:rPr>
        <w:t>The</w:t>
      </w:r>
      <w:r w:rsidR="00B90A2C">
        <w:rPr>
          <w:rFonts w:cs="Arial"/>
        </w:rPr>
        <w:t xml:space="preserve"> E</w:t>
      </w:r>
      <w:r w:rsidR="008B5FBC">
        <w:rPr>
          <w:rFonts w:cs="Arial"/>
        </w:rPr>
        <w:t xml:space="preserve">uropean </w:t>
      </w:r>
      <w:r w:rsidR="00B90A2C">
        <w:rPr>
          <w:rFonts w:cs="Arial"/>
        </w:rPr>
        <w:t>F</w:t>
      </w:r>
      <w:r w:rsidR="008B5FBC">
        <w:rPr>
          <w:rFonts w:cs="Arial"/>
        </w:rPr>
        <w:t xml:space="preserve">ood </w:t>
      </w:r>
      <w:r w:rsidR="00B90A2C">
        <w:rPr>
          <w:rFonts w:cs="Arial"/>
        </w:rPr>
        <w:t>S</w:t>
      </w:r>
      <w:r w:rsidR="008B5FBC">
        <w:rPr>
          <w:rFonts w:cs="Arial"/>
        </w:rPr>
        <w:t xml:space="preserve">afety </w:t>
      </w:r>
      <w:r w:rsidR="00B90A2C">
        <w:rPr>
          <w:rFonts w:cs="Arial"/>
        </w:rPr>
        <w:t>A</w:t>
      </w:r>
      <w:r w:rsidR="008B5FBC">
        <w:rPr>
          <w:rFonts w:cs="Arial"/>
        </w:rPr>
        <w:t>uthority (EFSA)</w:t>
      </w:r>
      <w:r w:rsidR="00B90A2C">
        <w:rPr>
          <w:rFonts w:cs="Arial"/>
        </w:rPr>
        <w:t xml:space="preserve"> </w:t>
      </w:r>
      <w:r w:rsidR="006C1E67">
        <w:rPr>
          <w:rFonts w:cs="Arial"/>
        </w:rPr>
        <w:t>genetically modified organism (</w:t>
      </w:r>
      <w:r w:rsidR="00B90A2C">
        <w:rPr>
          <w:rFonts w:cs="Arial"/>
        </w:rPr>
        <w:t>GMO</w:t>
      </w:r>
      <w:r w:rsidR="006C1E67">
        <w:rPr>
          <w:rFonts w:cs="Arial"/>
        </w:rPr>
        <w:t>)</w:t>
      </w:r>
      <w:r w:rsidR="00B90A2C">
        <w:rPr>
          <w:rFonts w:cs="Arial"/>
        </w:rPr>
        <w:t xml:space="preserve"> panel </w:t>
      </w:r>
      <w:r>
        <w:rPr>
          <w:rFonts w:cs="Arial"/>
        </w:rPr>
        <w:t xml:space="preserve">has </w:t>
      </w:r>
      <w:r w:rsidR="00B90A2C">
        <w:rPr>
          <w:rFonts w:cs="Arial"/>
        </w:rPr>
        <w:t>concluded that there are similar hazards associated with cisgenic and conventional plants, while novel hazards are associated with intragenic and transgenic plants.</w:t>
      </w:r>
      <w:r w:rsidR="00301523">
        <w:rPr>
          <w:rFonts w:cs="Arial"/>
        </w:rPr>
        <w:t xml:space="preserve"> While the </w:t>
      </w:r>
      <w:r w:rsidR="008B5FBC">
        <w:rPr>
          <w:rFonts w:cs="Arial"/>
        </w:rPr>
        <w:t xml:space="preserve">EFSA </w:t>
      </w:r>
      <w:r w:rsidR="00301523">
        <w:rPr>
          <w:rFonts w:cs="Arial"/>
        </w:rPr>
        <w:t xml:space="preserve">GMO panel concluded that the risk assessment applied to transgenic plants </w:t>
      </w:r>
      <w:r w:rsidR="008B5FBC">
        <w:rPr>
          <w:rFonts w:cs="Arial"/>
        </w:rPr>
        <w:t xml:space="preserve">could </w:t>
      </w:r>
      <w:r w:rsidR="00301523">
        <w:rPr>
          <w:rFonts w:cs="Arial"/>
        </w:rPr>
        <w:t xml:space="preserve">also </w:t>
      </w:r>
      <w:r w:rsidR="008B5FBC">
        <w:rPr>
          <w:rFonts w:cs="Arial"/>
        </w:rPr>
        <w:t xml:space="preserve">be applied </w:t>
      </w:r>
      <w:r w:rsidR="00301523">
        <w:rPr>
          <w:rFonts w:cs="Arial"/>
        </w:rPr>
        <w:t xml:space="preserve">to cisgenic and intragenic plants they </w:t>
      </w:r>
      <w:r w:rsidR="008B5FBC">
        <w:rPr>
          <w:rFonts w:cs="Arial"/>
        </w:rPr>
        <w:t xml:space="preserve">also </w:t>
      </w:r>
      <w:r w:rsidR="00301523">
        <w:rPr>
          <w:rFonts w:cs="Arial"/>
        </w:rPr>
        <w:t>stated “it can be envisaged that on a case by case basis lesser amounts of event specific data are need</w:t>
      </w:r>
      <w:r w:rsidR="008B5FBC">
        <w:rPr>
          <w:rFonts w:cs="Arial"/>
        </w:rPr>
        <w:t>ed</w:t>
      </w:r>
      <w:r w:rsidR="00301523">
        <w:rPr>
          <w:rFonts w:cs="Arial"/>
        </w:rPr>
        <w:t xml:space="preserve"> for risk assessment of cisgenic and intragenic plants”</w:t>
      </w:r>
      <w:r w:rsidR="008B5FBC">
        <w:rPr>
          <w:rStyle w:val="FootnoteReference"/>
          <w:rFonts w:cs="Arial"/>
        </w:rPr>
        <w:footnoteReference w:id="9"/>
      </w:r>
      <w:r w:rsidR="00301523">
        <w:rPr>
          <w:rFonts w:cs="Arial"/>
        </w:rPr>
        <w:t>.</w:t>
      </w:r>
    </w:p>
    <w:p w:rsidR="00B90A2C" w:rsidRPr="00DF0C61" w:rsidRDefault="009134AE" w:rsidP="005B669C">
      <w:pPr>
        <w:pStyle w:val="Heading5"/>
      </w:pPr>
      <w:r>
        <w:t>Panel d</w:t>
      </w:r>
      <w:r w:rsidR="00B90A2C" w:rsidRPr="00DF0C61">
        <w:t>iscussion</w:t>
      </w:r>
    </w:p>
    <w:p w:rsidR="00FA1FF8" w:rsidRDefault="00562A17" w:rsidP="005B669C">
      <w:pPr>
        <w:rPr>
          <w:rFonts w:cs="Arial"/>
        </w:rPr>
      </w:pPr>
      <w:r>
        <w:rPr>
          <w:rFonts w:cs="Arial"/>
        </w:rPr>
        <w:t>The</w:t>
      </w:r>
      <w:r w:rsidR="00B92A96">
        <w:rPr>
          <w:rFonts w:cs="Arial"/>
        </w:rPr>
        <w:t>re was a consensus view</w:t>
      </w:r>
      <w:r>
        <w:rPr>
          <w:rFonts w:cs="Arial"/>
        </w:rPr>
        <w:t xml:space="preserve"> that cisgenic and intragenic plants </w:t>
      </w:r>
      <w:r w:rsidR="00B92A96">
        <w:rPr>
          <w:rFonts w:cs="Arial"/>
        </w:rPr>
        <w:t xml:space="preserve">are generated by the use of recombinant DNA techniques and food derived from such plants </w:t>
      </w:r>
      <w:r>
        <w:rPr>
          <w:rFonts w:cs="Arial"/>
        </w:rPr>
        <w:t xml:space="preserve">should be regarded as GM food. The discussion </w:t>
      </w:r>
      <w:r w:rsidR="00FA1FF8">
        <w:rPr>
          <w:rFonts w:cs="Arial"/>
        </w:rPr>
        <w:t xml:space="preserve">then </w:t>
      </w:r>
      <w:r>
        <w:rPr>
          <w:rFonts w:cs="Arial"/>
        </w:rPr>
        <w:t xml:space="preserve">focussed on the public perception of cisgenesis/intragenesis and whether there is any scientific distinction between </w:t>
      </w:r>
      <w:r w:rsidR="003E42A1">
        <w:rPr>
          <w:rFonts w:cs="Arial"/>
        </w:rPr>
        <w:t xml:space="preserve">these techniques and transgenesis which </w:t>
      </w:r>
      <w:r w:rsidR="00D82072">
        <w:rPr>
          <w:rFonts w:cs="Arial"/>
        </w:rPr>
        <w:t>would</w:t>
      </w:r>
      <w:r w:rsidR="003E42A1">
        <w:rPr>
          <w:rFonts w:cs="Arial"/>
        </w:rPr>
        <w:t xml:space="preserve"> justify a different regulatory approach.</w:t>
      </w:r>
    </w:p>
    <w:p w:rsidR="00B51DEF" w:rsidRDefault="00B51DEF" w:rsidP="005B669C">
      <w:pPr>
        <w:rPr>
          <w:rFonts w:cs="Arial"/>
        </w:rPr>
      </w:pPr>
    </w:p>
    <w:p w:rsidR="00562A17" w:rsidRDefault="005A48C4" w:rsidP="005B669C">
      <w:pPr>
        <w:rPr>
          <w:rFonts w:cs="Arial"/>
        </w:rPr>
      </w:pPr>
      <w:r>
        <w:rPr>
          <w:rFonts w:cs="Arial"/>
        </w:rPr>
        <w:t xml:space="preserve">The main points </w:t>
      </w:r>
      <w:r w:rsidR="00FA1FF8">
        <w:rPr>
          <w:rFonts w:cs="Arial"/>
        </w:rPr>
        <w:t>from</w:t>
      </w:r>
      <w:r>
        <w:rPr>
          <w:rFonts w:cs="Arial"/>
        </w:rPr>
        <w:t xml:space="preserve"> the panel discussion are summarised below:</w:t>
      </w:r>
    </w:p>
    <w:p w:rsidR="00DE25B6" w:rsidRDefault="00DE25B6" w:rsidP="005B669C">
      <w:pPr>
        <w:rPr>
          <w:rFonts w:cs="Arial"/>
        </w:rPr>
      </w:pPr>
    </w:p>
    <w:p w:rsidR="00DE25B6" w:rsidRPr="005A48C4" w:rsidRDefault="005A48C4" w:rsidP="00DC6F63">
      <w:pPr>
        <w:pStyle w:val="ListParagraph"/>
        <w:numPr>
          <w:ilvl w:val="0"/>
          <w:numId w:val="6"/>
        </w:numPr>
        <w:rPr>
          <w:rFonts w:cs="Arial"/>
        </w:rPr>
      </w:pPr>
      <w:r>
        <w:rPr>
          <w:rFonts w:cs="Arial"/>
        </w:rPr>
        <w:t>Various</w:t>
      </w:r>
      <w:r w:rsidR="00DE25B6" w:rsidRPr="005A48C4">
        <w:rPr>
          <w:rFonts w:cs="Arial"/>
        </w:rPr>
        <w:t xml:space="preserve"> surveys of consumer attitudes indicate that consumers have </w:t>
      </w:r>
      <w:r w:rsidRPr="005A48C4">
        <w:rPr>
          <w:rFonts w:cs="Arial"/>
        </w:rPr>
        <w:t>fewer concerns</w:t>
      </w:r>
      <w:r w:rsidR="00DE25B6" w:rsidRPr="005A48C4">
        <w:rPr>
          <w:rFonts w:cs="Arial"/>
        </w:rPr>
        <w:t xml:space="preserve"> about cisgenics and intragenics suggesting they are likely to be more accepting of foods produced using these techniques.</w:t>
      </w:r>
      <w:r>
        <w:rPr>
          <w:rFonts w:cs="Arial"/>
        </w:rPr>
        <w:t xml:space="preserve"> This should not </w:t>
      </w:r>
      <w:r w:rsidR="00665E1D">
        <w:rPr>
          <w:rFonts w:cs="Arial"/>
        </w:rPr>
        <w:t xml:space="preserve">however </w:t>
      </w:r>
      <w:r>
        <w:rPr>
          <w:rFonts w:cs="Arial"/>
        </w:rPr>
        <w:t>influence the scientific assessment that is applied to the product. This will be determined, as always, by the nature of the genetic modification.</w:t>
      </w:r>
    </w:p>
    <w:p w:rsidR="003E42A1" w:rsidRDefault="003E42A1" w:rsidP="005B669C">
      <w:pPr>
        <w:rPr>
          <w:rFonts w:cs="Arial"/>
        </w:rPr>
      </w:pPr>
    </w:p>
    <w:p w:rsidR="005A48C4" w:rsidRPr="005A48C4" w:rsidRDefault="005A48C4" w:rsidP="00DC6F63">
      <w:pPr>
        <w:pStyle w:val="ListParagraph"/>
        <w:numPr>
          <w:ilvl w:val="0"/>
          <w:numId w:val="6"/>
        </w:numPr>
        <w:rPr>
          <w:rFonts w:cs="Arial"/>
        </w:rPr>
      </w:pPr>
      <w:r w:rsidRPr="005A48C4">
        <w:rPr>
          <w:rFonts w:cs="Arial"/>
        </w:rPr>
        <w:t>From</w:t>
      </w:r>
      <w:r w:rsidR="003D1B15" w:rsidRPr="005A48C4">
        <w:rPr>
          <w:rFonts w:cs="Arial"/>
        </w:rPr>
        <w:t xml:space="preserve"> a technical point of view </w:t>
      </w:r>
      <w:r w:rsidR="00DE25B6" w:rsidRPr="005A48C4">
        <w:rPr>
          <w:rFonts w:cs="Arial"/>
        </w:rPr>
        <w:t>there is no distinction between cisgenesis, intragenesis and transgenesis as</w:t>
      </w:r>
      <w:r w:rsidR="003D1B15" w:rsidRPr="005A48C4">
        <w:rPr>
          <w:rFonts w:cs="Arial"/>
        </w:rPr>
        <w:t xml:space="preserve"> all three </w:t>
      </w:r>
      <w:r w:rsidR="00665E1D">
        <w:rPr>
          <w:rFonts w:cs="Arial"/>
        </w:rPr>
        <w:t xml:space="preserve">techniques </w:t>
      </w:r>
      <w:r w:rsidR="003D1B15" w:rsidRPr="005A48C4">
        <w:rPr>
          <w:rFonts w:cs="Arial"/>
        </w:rPr>
        <w:t xml:space="preserve">involve introducing DNA into a novel </w:t>
      </w:r>
      <w:r w:rsidR="00DE25B6" w:rsidRPr="005A48C4">
        <w:rPr>
          <w:rFonts w:cs="Arial"/>
        </w:rPr>
        <w:t>site</w:t>
      </w:r>
      <w:r w:rsidR="003D1B15" w:rsidRPr="005A48C4">
        <w:rPr>
          <w:rFonts w:cs="Arial"/>
        </w:rPr>
        <w:t xml:space="preserve"> in the genome</w:t>
      </w:r>
      <w:r w:rsidR="008E7B8D" w:rsidRPr="005A48C4">
        <w:rPr>
          <w:rFonts w:cs="Arial"/>
        </w:rPr>
        <w:t>. The food produced from all three techniques therefore require</w:t>
      </w:r>
      <w:r w:rsidR="00DE25B6" w:rsidRPr="005A48C4">
        <w:rPr>
          <w:rFonts w:cs="Arial"/>
        </w:rPr>
        <w:t>s</w:t>
      </w:r>
      <w:r w:rsidR="008E7B8D" w:rsidRPr="005A48C4">
        <w:rPr>
          <w:rFonts w:cs="Arial"/>
        </w:rPr>
        <w:t xml:space="preserve"> pre-market scientific evaluation</w:t>
      </w:r>
      <w:r w:rsidR="00DD69D9">
        <w:rPr>
          <w:rFonts w:cs="Arial"/>
        </w:rPr>
        <w:t xml:space="preserve"> of safety, and approval under the current Standard</w:t>
      </w:r>
      <w:r w:rsidR="008E7B8D" w:rsidRPr="005A48C4">
        <w:rPr>
          <w:rFonts w:cs="Arial"/>
        </w:rPr>
        <w:t>.</w:t>
      </w:r>
    </w:p>
    <w:p w:rsidR="005A48C4" w:rsidRDefault="005A48C4" w:rsidP="005B669C">
      <w:pPr>
        <w:rPr>
          <w:rFonts w:cs="Arial"/>
        </w:rPr>
      </w:pPr>
    </w:p>
    <w:p w:rsidR="008528B4" w:rsidRDefault="005A48C4" w:rsidP="00DC6F63">
      <w:pPr>
        <w:pStyle w:val="ListParagraph"/>
        <w:numPr>
          <w:ilvl w:val="0"/>
          <w:numId w:val="6"/>
        </w:numPr>
        <w:rPr>
          <w:rFonts w:cs="Arial"/>
        </w:rPr>
      </w:pPr>
      <w:r w:rsidRPr="00665E1D">
        <w:rPr>
          <w:rFonts w:cs="Arial"/>
        </w:rPr>
        <w:t xml:space="preserve">The </w:t>
      </w:r>
      <w:r w:rsidR="003D1B15" w:rsidRPr="00665E1D">
        <w:rPr>
          <w:rFonts w:cs="Arial"/>
        </w:rPr>
        <w:t xml:space="preserve">source of the gene </w:t>
      </w:r>
      <w:r w:rsidR="008A4CA5">
        <w:rPr>
          <w:rFonts w:cs="Arial"/>
        </w:rPr>
        <w:t xml:space="preserve">(ie whether it is from the same or a different species) </w:t>
      </w:r>
      <w:r w:rsidR="003D1B15" w:rsidRPr="00665E1D">
        <w:rPr>
          <w:rFonts w:cs="Arial"/>
        </w:rPr>
        <w:t xml:space="preserve">could potentially influence the type of safety assessment that would be required. </w:t>
      </w:r>
      <w:r w:rsidR="008528B4">
        <w:rPr>
          <w:rFonts w:cs="Arial"/>
        </w:rPr>
        <w:t>In the case of transgenesis where genes are derived from an unrelated species, s</w:t>
      </w:r>
      <w:r w:rsidR="00665E1D" w:rsidRPr="00665E1D">
        <w:rPr>
          <w:rFonts w:cs="Arial"/>
        </w:rPr>
        <w:t>ome</w:t>
      </w:r>
      <w:r w:rsidR="003D1B15" w:rsidRPr="00665E1D">
        <w:rPr>
          <w:rFonts w:cs="Arial"/>
        </w:rPr>
        <w:t xml:space="preserve"> sequences may behave differently</w:t>
      </w:r>
      <w:r w:rsidR="008528B4">
        <w:rPr>
          <w:rFonts w:cs="Arial"/>
        </w:rPr>
        <w:t xml:space="preserve"> in the new host</w:t>
      </w:r>
      <w:r w:rsidR="003D1B15" w:rsidRPr="00665E1D">
        <w:rPr>
          <w:rFonts w:cs="Arial"/>
        </w:rPr>
        <w:t xml:space="preserve"> for example if they do not possess a micro RNA site that is important for regulation. Therefore if a gene is derived from an unrelated species and introduced into a heterologous genome its use may raise different questions scientifically than if that gene was derived from the same species</w:t>
      </w:r>
      <w:r w:rsidR="008528B4">
        <w:rPr>
          <w:rFonts w:cs="Arial"/>
        </w:rPr>
        <w:t>, as would be the case for cisgenesis and intragenesis</w:t>
      </w:r>
      <w:r w:rsidR="003D1B15" w:rsidRPr="00665E1D">
        <w:rPr>
          <w:rFonts w:cs="Arial"/>
        </w:rPr>
        <w:t>.</w:t>
      </w:r>
    </w:p>
    <w:p w:rsidR="008528B4" w:rsidRPr="008528B4" w:rsidRDefault="008528B4" w:rsidP="008528B4">
      <w:pPr>
        <w:pStyle w:val="ListParagraph"/>
        <w:rPr>
          <w:rFonts w:cs="Arial"/>
        </w:rPr>
      </w:pPr>
    </w:p>
    <w:p w:rsidR="003E42A1" w:rsidRPr="00665E1D" w:rsidRDefault="008E7B8D" w:rsidP="00DC6F63">
      <w:pPr>
        <w:pStyle w:val="ListParagraph"/>
        <w:numPr>
          <w:ilvl w:val="0"/>
          <w:numId w:val="6"/>
        </w:numPr>
        <w:rPr>
          <w:rFonts w:cs="Arial"/>
        </w:rPr>
      </w:pPr>
      <w:r w:rsidRPr="00665E1D">
        <w:rPr>
          <w:rFonts w:cs="Arial"/>
        </w:rPr>
        <w:t>Genes derived from an organism that is commonly used as food and has a history of safe use may require less evidence to establish their safety. For example, allergeni</w:t>
      </w:r>
      <w:r w:rsidR="00665E1D" w:rsidRPr="00665E1D">
        <w:rPr>
          <w:rFonts w:cs="Arial"/>
        </w:rPr>
        <w:t xml:space="preserve">city is unlikely to be an issue, </w:t>
      </w:r>
      <w:r w:rsidR="00627F19">
        <w:rPr>
          <w:rFonts w:cs="Arial"/>
        </w:rPr>
        <w:t>however</w:t>
      </w:r>
      <w:r w:rsidRPr="00665E1D">
        <w:rPr>
          <w:rFonts w:cs="Arial"/>
        </w:rPr>
        <w:t xml:space="preserve"> a full compositional analysis </w:t>
      </w:r>
      <w:r w:rsidR="00627F19">
        <w:rPr>
          <w:rFonts w:cs="Arial"/>
        </w:rPr>
        <w:t>would probably still be</w:t>
      </w:r>
      <w:r w:rsidRPr="00665E1D">
        <w:rPr>
          <w:rFonts w:cs="Arial"/>
        </w:rPr>
        <w:t xml:space="preserve"> necessary, because even </w:t>
      </w:r>
      <w:r w:rsidR="005A48C4" w:rsidRPr="00665E1D">
        <w:rPr>
          <w:rFonts w:cs="Arial"/>
        </w:rPr>
        <w:t xml:space="preserve">in the case of </w:t>
      </w:r>
      <w:r w:rsidRPr="00665E1D">
        <w:rPr>
          <w:rFonts w:cs="Arial"/>
        </w:rPr>
        <w:t>the introduction of another copy of an endogenous gene, its overexpression</w:t>
      </w:r>
      <w:r w:rsidR="005A48C4" w:rsidRPr="00665E1D">
        <w:rPr>
          <w:rFonts w:cs="Arial"/>
        </w:rPr>
        <w:t xml:space="preserve"> could have unintended effects.</w:t>
      </w:r>
      <w:r w:rsidR="00665E1D">
        <w:rPr>
          <w:rFonts w:cs="Arial"/>
        </w:rPr>
        <w:t xml:space="preserve"> </w:t>
      </w:r>
      <w:r w:rsidR="005A48C4" w:rsidRPr="00665E1D">
        <w:rPr>
          <w:rFonts w:cs="Arial"/>
        </w:rPr>
        <w:t>There</w:t>
      </w:r>
      <w:r w:rsidR="001E2303" w:rsidRPr="00665E1D">
        <w:rPr>
          <w:rFonts w:cs="Arial"/>
        </w:rPr>
        <w:t xml:space="preserve"> may </w:t>
      </w:r>
      <w:r w:rsidR="00665E1D" w:rsidRPr="00665E1D">
        <w:rPr>
          <w:rFonts w:cs="Arial"/>
        </w:rPr>
        <w:t xml:space="preserve">therefore </w:t>
      </w:r>
      <w:r w:rsidR="00006237" w:rsidRPr="00665E1D">
        <w:rPr>
          <w:rFonts w:cs="Arial"/>
        </w:rPr>
        <w:t>be</w:t>
      </w:r>
      <w:r w:rsidR="00DE25B6" w:rsidRPr="00665E1D">
        <w:rPr>
          <w:rFonts w:cs="Arial"/>
        </w:rPr>
        <w:t xml:space="preserve"> scientific justification for </w:t>
      </w:r>
      <w:r w:rsidR="001E2303" w:rsidRPr="00665E1D">
        <w:rPr>
          <w:rFonts w:cs="Arial"/>
        </w:rPr>
        <w:t xml:space="preserve">certain types of data </w:t>
      </w:r>
      <w:r w:rsidR="00DE25B6" w:rsidRPr="00665E1D">
        <w:rPr>
          <w:rFonts w:cs="Arial"/>
        </w:rPr>
        <w:t xml:space="preserve">to be </w:t>
      </w:r>
      <w:r w:rsidR="00006237" w:rsidRPr="00665E1D">
        <w:rPr>
          <w:rFonts w:cs="Arial"/>
        </w:rPr>
        <w:t xml:space="preserve">deemed </w:t>
      </w:r>
      <w:r w:rsidR="00DE25B6" w:rsidRPr="00665E1D">
        <w:rPr>
          <w:rFonts w:cs="Arial"/>
        </w:rPr>
        <w:t xml:space="preserve">unnecessary for the safety assessment of cisgenic </w:t>
      </w:r>
      <w:r w:rsidR="008528B4">
        <w:rPr>
          <w:rFonts w:cs="Arial"/>
        </w:rPr>
        <w:t xml:space="preserve">or intragenic </w:t>
      </w:r>
      <w:r w:rsidR="00DE25B6" w:rsidRPr="00665E1D">
        <w:rPr>
          <w:rFonts w:cs="Arial"/>
        </w:rPr>
        <w:t>products</w:t>
      </w:r>
      <w:r w:rsidR="00665E1D">
        <w:rPr>
          <w:rFonts w:cs="Arial"/>
        </w:rPr>
        <w:t xml:space="preserve">. </w:t>
      </w:r>
    </w:p>
    <w:p w:rsidR="00AE4E83" w:rsidRPr="00DF0C61" w:rsidRDefault="00AE4E83" w:rsidP="005B669C">
      <w:pPr>
        <w:pStyle w:val="Heading5"/>
      </w:pPr>
      <w:r w:rsidRPr="00DF0C61">
        <w:t>Conclusion</w:t>
      </w:r>
      <w:r w:rsidR="008454C4">
        <w:t>s</w:t>
      </w:r>
      <w:r w:rsidRPr="00DF0C61">
        <w:t xml:space="preserve"> </w:t>
      </w:r>
    </w:p>
    <w:p w:rsidR="00AE4E83" w:rsidRDefault="00AE4E83" w:rsidP="005B669C">
      <w:pPr>
        <w:rPr>
          <w:rFonts w:cs="Arial"/>
        </w:rPr>
      </w:pPr>
      <w:r>
        <w:rPr>
          <w:rFonts w:cs="Arial"/>
        </w:rPr>
        <w:t>The panel concluded the following:</w:t>
      </w:r>
    </w:p>
    <w:p w:rsidR="00AE4E83" w:rsidRDefault="00AE4E83" w:rsidP="005B669C">
      <w:pPr>
        <w:rPr>
          <w:rFonts w:cs="Arial"/>
        </w:rPr>
      </w:pPr>
    </w:p>
    <w:p w:rsidR="00AE4E83" w:rsidRDefault="00B1625D" w:rsidP="00DC6F63">
      <w:pPr>
        <w:pStyle w:val="ListParagraph"/>
        <w:numPr>
          <w:ilvl w:val="0"/>
          <w:numId w:val="20"/>
        </w:numPr>
        <w:ind w:left="360"/>
        <w:rPr>
          <w:rFonts w:cs="Arial"/>
        </w:rPr>
      </w:pPr>
      <w:r>
        <w:rPr>
          <w:rFonts w:cs="Arial"/>
        </w:rPr>
        <w:t>Technically there is no distinction between cisgenesis, intragenesis and transgenesis</w:t>
      </w:r>
      <w:r w:rsidR="00233E7E">
        <w:rPr>
          <w:rFonts w:cs="Arial"/>
        </w:rPr>
        <w:t xml:space="preserve"> – all three involve </w:t>
      </w:r>
      <w:r w:rsidR="00B7193C">
        <w:rPr>
          <w:rFonts w:cs="Arial"/>
        </w:rPr>
        <w:t xml:space="preserve">using recombinant DNA techniques to </w:t>
      </w:r>
      <w:r w:rsidR="00233E7E">
        <w:rPr>
          <w:rFonts w:cs="Arial"/>
        </w:rPr>
        <w:t>introduc</w:t>
      </w:r>
      <w:r w:rsidR="00B7193C">
        <w:rPr>
          <w:rFonts w:cs="Arial"/>
        </w:rPr>
        <w:t>e</w:t>
      </w:r>
      <w:r w:rsidR="00233E7E">
        <w:rPr>
          <w:rFonts w:cs="Arial"/>
        </w:rPr>
        <w:t xml:space="preserve"> DNA into a novel site in the </w:t>
      </w:r>
      <w:r w:rsidR="00B7193C">
        <w:rPr>
          <w:rFonts w:cs="Arial"/>
        </w:rPr>
        <w:t xml:space="preserve">plant </w:t>
      </w:r>
      <w:r w:rsidR="00233E7E">
        <w:rPr>
          <w:rFonts w:cs="Arial"/>
        </w:rPr>
        <w:t>genome</w:t>
      </w:r>
      <w:r w:rsidR="00364C85">
        <w:rPr>
          <w:rFonts w:cs="Arial"/>
        </w:rPr>
        <w:t>.</w:t>
      </w:r>
    </w:p>
    <w:p w:rsidR="0067580A" w:rsidRDefault="0067580A" w:rsidP="00376C9D">
      <w:pPr>
        <w:pStyle w:val="ListParagraph"/>
        <w:ind w:left="0"/>
        <w:rPr>
          <w:rFonts w:cs="Arial"/>
        </w:rPr>
      </w:pPr>
    </w:p>
    <w:p w:rsidR="00AE4E83" w:rsidRDefault="003B180A" w:rsidP="00DC6F63">
      <w:pPr>
        <w:pStyle w:val="ListParagraph"/>
        <w:numPr>
          <w:ilvl w:val="0"/>
          <w:numId w:val="20"/>
        </w:numPr>
        <w:ind w:left="360"/>
        <w:rPr>
          <w:rFonts w:cs="Arial"/>
        </w:rPr>
      </w:pPr>
      <w:r>
        <w:rPr>
          <w:rFonts w:cs="Arial"/>
        </w:rPr>
        <w:t>A</w:t>
      </w:r>
      <w:r w:rsidRPr="00FB7464">
        <w:rPr>
          <w:rFonts w:cs="Arial"/>
        </w:rPr>
        <w:t xml:space="preserve"> simplified form of food safety assessment may be warranted </w:t>
      </w:r>
      <w:r>
        <w:rPr>
          <w:rFonts w:cs="Arial"/>
        </w:rPr>
        <w:t xml:space="preserve">for cisgenic and intragenic plants </w:t>
      </w:r>
      <w:r w:rsidRPr="00FB7464">
        <w:rPr>
          <w:rFonts w:cs="Arial"/>
        </w:rPr>
        <w:t xml:space="preserve">because the transferred genes will be derived from </w:t>
      </w:r>
      <w:r w:rsidR="006531EC">
        <w:rPr>
          <w:rFonts w:cs="Arial"/>
        </w:rPr>
        <w:t>the same or closely related species which are</w:t>
      </w:r>
      <w:r w:rsidRPr="00FB7464">
        <w:rPr>
          <w:rFonts w:cs="Arial"/>
        </w:rPr>
        <w:t xml:space="preserve"> </w:t>
      </w:r>
      <w:r w:rsidR="00EA0D1D">
        <w:rPr>
          <w:rFonts w:cs="Arial"/>
        </w:rPr>
        <w:t xml:space="preserve">likely to be </w:t>
      </w:r>
      <w:r w:rsidRPr="00FB7464">
        <w:rPr>
          <w:rFonts w:cs="Arial"/>
        </w:rPr>
        <w:t xml:space="preserve">commonly used as food </w:t>
      </w:r>
      <w:r>
        <w:rPr>
          <w:rFonts w:cs="Arial"/>
        </w:rPr>
        <w:t xml:space="preserve">and have a history of </w:t>
      </w:r>
      <w:r w:rsidR="00F174F8">
        <w:rPr>
          <w:rFonts w:cs="Arial"/>
        </w:rPr>
        <w:t xml:space="preserve">safe </w:t>
      </w:r>
      <w:r>
        <w:rPr>
          <w:rFonts w:cs="Arial"/>
        </w:rPr>
        <w:t>use</w:t>
      </w:r>
      <w:r w:rsidR="00AE4E83">
        <w:rPr>
          <w:rFonts w:cs="Arial"/>
        </w:rPr>
        <w:t>.</w:t>
      </w:r>
    </w:p>
    <w:p w:rsidR="00B53843" w:rsidRPr="006E3FAA" w:rsidRDefault="0019039C" w:rsidP="00984BE1">
      <w:pPr>
        <w:pStyle w:val="Heading3"/>
      </w:pPr>
      <w:bookmarkStart w:id="7" w:name="_Toc350235769"/>
      <w:r>
        <w:t>G</w:t>
      </w:r>
      <w:r w:rsidR="00B53843" w:rsidRPr="006E3FAA">
        <w:t>M Rootstock Grafting</w:t>
      </w:r>
      <w:bookmarkEnd w:id="7"/>
    </w:p>
    <w:p w:rsidR="006E3FAA" w:rsidRPr="006E3FAA" w:rsidRDefault="009C5850" w:rsidP="005B669C">
      <w:pPr>
        <w:pStyle w:val="Heading5"/>
      </w:pPr>
      <w:r>
        <w:t>Overview</w:t>
      </w:r>
      <w:r w:rsidRPr="006E3FAA">
        <w:t xml:space="preserve"> </w:t>
      </w:r>
      <w:r w:rsidR="006E3FAA" w:rsidRPr="006E3FAA">
        <w:t xml:space="preserve">of </w:t>
      </w:r>
      <w:r>
        <w:t>the technique</w:t>
      </w:r>
    </w:p>
    <w:p w:rsidR="00AE7202" w:rsidRDefault="00624A3F" w:rsidP="005B669C">
      <w:pPr>
        <w:rPr>
          <w:rFonts w:cs="Arial"/>
        </w:rPr>
      </w:pPr>
      <w:r>
        <w:rPr>
          <w:rFonts w:cs="Arial"/>
        </w:rPr>
        <w:t>Grafting</w:t>
      </w:r>
      <w:r w:rsidR="00587472">
        <w:rPr>
          <w:rFonts w:cs="Arial"/>
        </w:rPr>
        <w:t xml:space="preserve"> </w:t>
      </w:r>
      <w:r>
        <w:rPr>
          <w:rFonts w:cs="Arial"/>
        </w:rPr>
        <w:t xml:space="preserve">is used extensively in many plant breeding programmes and </w:t>
      </w:r>
      <w:r w:rsidR="00587472">
        <w:rPr>
          <w:rFonts w:cs="Arial"/>
        </w:rPr>
        <w:t xml:space="preserve">is typically done to modify plant architecture, or to counter biotic and abiotic stresses.  </w:t>
      </w:r>
      <w:r w:rsidR="00D86DCF">
        <w:rPr>
          <w:rFonts w:cs="Arial"/>
        </w:rPr>
        <w:t xml:space="preserve">The </w:t>
      </w:r>
      <w:r w:rsidR="009C5850">
        <w:rPr>
          <w:rFonts w:cs="Arial"/>
        </w:rPr>
        <w:t xml:space="preserve">lower </w:t>
      </w:r>
      <w:r w:rsidR="00D86DCF">
        <w:rPr>
          <w:rFonts w:cs="Arial"/>
        </w:rPr>
        <w:t>part of the plant which contributes roots and support is called the rootstock and the upper part of the plant contributing stems, leaves, flowers and fruit, is called the scion.</w:t>
      </w:r>
    </w:p>
    <w:p w:rsidR="00AE7202" w:rsidRDefault="00AE7202" w:rsidP="005B669C">
      <w:pPr>
        <w:rPr>
          <w:rFonts w:cs="Arial"/>
        </w:rPr>
      </w:pPr>
    </w:p>
    <w:p w:rsidR="00165CBD" w:rsidRDefault="009A41D4" w:rsidP="005B669C">
      <w:pPr>
        <w:rPr>
          <w:rFonts w:cs="Arial"/>
        </w:rPr>
      </w:pPr>
      <w:r>
        <w:rPr>
          <w:rFonts w:cs="Arial"/>
        </w:rPr>
        <w:t>T</w:t>
      </w:r>
      <w:r w:rsidR="00AE7202">
        <w:rPr>
          <w:rFonts w:cs="Arial"/>
        </w:rPr>
        <w:t>he</w:t>
      </w:r>
      <w:r w:rsidR="00165CBD">
        <w:rPr>
          <w:rFonts w:cs="Arial"/>
        </w:rPr>
        <w:t xml:space="preserve"> rootstock plus the scion </w:t>
      </w:r>
      <w:r w:rsidR="00C7754B">
        <w:rPr>
          <w:rFonts w:cs="Arial"/>
        </w:rPr>
        <w:t>can be regarded as</w:t>
      </w:r>
      <w:r w:rsidR="00165CBD">
        <w:rPr>
          <w:rFonts w:cs="Arial"/>
        </w:rPr>
        <w:t xml:space="preserve"> a composite </w:t>
      </w:r>
      <w:r w:rsidR="00756758">
        <w:rPr>
          <w:rFonts w:cs="Arial"/>
        </w:rPr>
        <w:t xml:space="preserve">plant </w:t>
      </w:r>
      <w:r w:rsidR="000E0B65">
        <w:rPr>
          <w:rFonts w:cs="Arial"/>
        </w:rPr>
        <w:t>which essentially</w:t>
      </w:r>
      <w:r w:rsidR="00756758">
        <w:rPr>
          <w:rFonts w:cs="Arial"/>
        </w:rPr>
        <w:t xml:space="preserve"> functions as a single organism</w:t>
      </w:r>
      <w:r>
        <w:rPr>
          <w:rFonts w:cs="Arial"/>
        </w:rPr>
        <w:t>, with</w:t>
      </w:r>
      <w:r w:rsidR="0070723B">
        <w:rPr>
          <w:rFonts w:cs="Arial"/>
        </w:rPr>
        <w:t xml:space="preserve"> one genotype in the rootstock</w:t>
      </w:r>
      <w:r w:rsidR="00C67896">
        <w:rPr>
          <w:rFonts w:cs="Arial"/>
        </w:rPr>
        <w:t xml:space="preserve"> and </w:t>
      </w:r>
      <w:r>
        <w:rPr>
          <w:rFonts w:cs="Arial"/>
        </w:rPr>
        <w:t xml:space="preserve">another genotype in </w:t>
      </w:r>
      <w:r w:rsidR="0070723B">
        <w:rPr>
          <w:rFonts w:cs="Arial"/>
        </w:rPr>
        <w:t xml:space="preserve">the scion.  </w:t>
      </w:r>
      <w:r w:rsidR="00C67896">
        <w:rPr>
          <w:rFonts w:cs="Arial"/>
        </w:rPr>
        <w:t xml:space="preserve">A graft union, which consists of a small mass of callus tissue, physically joins the </w:t>
      </w:r>
      <w:r w:rsidR="007D1220">
        <w:rPr>
          <w:rFonts w:cs="Arial"/>
        </w:rPr>
        <w:t>two parts</w:t>
      </w:r>
      <w:r w:rsidR="00C67896">
        <w:rPr>
          <w:rFonts w:cs="Arial"/>
        </w:rPr>
        <w:t xml:space="preserve">. </w:t>
      </w:r>
      <w:r w:rsidR="009E16A4">
        <w:rPr>
          <w:rFonts w:cs="Arial"/>
        </w:rPr>
        <w:t xml:space="preserve">For many years the graft union was </w:t>
      </w:r>
      <w:r w:rsidR="007D1220">
        <w:rPr>
          <w:rFonts w:cs="Arial"/>
        </w:rPr>
        <w:t xml:space="preserve">believed to be </w:t>
      </w:r>
      <w:r w:rsidR="00822644">
        <w:rPr>
          <w:rFonts w:cs="Arial"/>
        </w:rPr>
        <w:t>separate</w:t>
      </w:r>
      <w:r w:rsidR="009E16A4">
        <w:rPr>
          <w:rFonts w:cs="Arial"/>
        </w:rPr>
        <w:t xml:space="preserve"> tissue that would act as a selective filter</w:t>
      </w:r>
      <w:r w:rsidR="00C7754B">
        <w:rPr>
          <w:rFonts w:cs="Arial"/>
        </w:rPr>
        <w:t xml:space="preserve"> but </w:t>
      </w:r>
      <w:r w:rsidR="007D1220">
        <w:rPr>
          <w:rFonts w:cs="Arial"/>
        </w:rPr>
        <w:t>it</w:t>
      </w:r>
      <w:r w:rsidR="00364C85">
        <w:rPr>
          <w:rFonts w:cs="Arial"/>
        </w:rPr>
        <w:t xml:space="preserve"> i</w:t>
      </w:r>
      <w:r w:rsidR="007D1220">
        <w:rPr>
          <w:rFonts w:cs="Arial"/>
        </w:rPr>
        <w:t>s now</w:t>
      </w:r>
      <w:r w:rsidR="00500611">
        <w:rPr>
          <w:rFonts w:cs="Arial"/>
        </w:rPr>
        <w:t xml:space="preserve"> known th</w:t>
      </w:r>
      <w:r w:rsidR="0070723B">
        <w:rPr>
          <w:rFonts w:cs="Arial"/>
        </w:rPr>
        <w:t xml:space="preserve">ere is a vascular connection between the rootstock and scion through which </w:t>
      </w:r>
      <w:r w:rsidR="007D1220">
        <w:rPr>
          <w:rFonts w:cs="Arial"/>
        </w:rPr>
        <w:t>there is</w:t>
      </w:r>
      <w:r w:rsidR="0070723B">
        <w:rPr>
          <w:rFonts w:cs="Arial"/>
        </w:rPr>
        <w:t xml:space="preserve"> one way movement </w:t>
      </w:r>
      <w:r w:rsidR="001734FF">
        <w:rPr>
          <w:rFonts w:cs="Arial"/>
        </w:rPr>
        <w:t xml:space="preserve">of water and soluble mineral nutrients from roots to leaves </w:t>
      </w:r>
      <w:r w:rsidR="0070723B">
        <w:rPr>
          <w:rFonts w:cs="Arial"/>
        </w:rPr>
        <w:t xml:space="preserve">via the xylem and two way movement </w:t>
      </w:r>
      <w:r w:rsidR="00CD71E7">
        <w:rPr>
          <w:rFonts w:cs="Arial"/>
        </w:rPr>
        <w:t xml:space="preserve">of photosynthates and </w:t>
      </w:r>
      <w:r w:rsidR="00A000AE">
        <w:rPr>
          <w:rFonts w:cs="Arial"/>
        </w:rPr>
        <w:t xml:space="preserve">various </w:t>
      </w:r>
      <w:r w:rsidR="001562B8">
        <w:rPr>
          <w:rFonts w:cs="Arial"/>
        </w:rPr>
        <w:t>macromolecules</w:t>
      </w:r>
      <w:r w:rsidR="00CD71E7">
        <w:rPr>
          <w:rFonts w:cs="Arial"/>
        </w:rPr>
        <w:t xml:space="preserve"> </w:t>
      </w:r>
      <w:r w:rsidR="00F87ED4">
        <w:rPr>
          <w:rFonts w:cs="Arial"/>
        </w:rPr>
        <w:t xml:space="preserve">(RNA and </w:t>
      </w:r>
      <w:r w:rsidR="001562B8">
        <w:rPr>
          <w:rFonts w:cs="Arial"/>
        </w:rPr>
        <w:t>proteins</w:t>
      </w:r>
      <w:r w:rsidR="00F87ED4">
        <w:rPr>
          <w:rFonts w:cs="Arial"/>
        </w:rPr>
        <w:t xml:space="preserve"> but not DNA</w:t>
      </w:r>
      <w:r w:rsidR="001562B8">
        <w:rPr>
          <w:rFonts w:cs="Arial"/>
        </w:rPr>
        <w:t xml:space="preserve">) </w:t>
      </w:r>
      <w:r w:rsidR="0070723B">
        <w:rPr>
          <w:rFonts w:cs="Arial"/>
        </w:rPr>
        <w:t xml:space="preserve">via the phloem. </w:t>
      </w:r>
      <w:r w:rsidR="00D82072">
        <w:rPr>
          <w:rFonts w:cs="Arial"/>
        </w:rPr>
        <w:t>On each</w:t>
      </w:r>
      <w:r w:rsidR="002D0603">
        <w:rPr>
          <w:rFonts w:cs="Arial"/>
        </w:rPr>
        <w:t xml:space="preserve"> side of the graft union all the components of the phloem and xylem are the same </w:t>
      </w:r>
      <w:r w:rsidR="00CD71E7">
        <w:rPr>
          <w:rFonts w:cs="Arial"/>
        </w:rPr>
        <w:t>and in</w:t>
      </w:r>
      <w:r w:rsidR="007C57E6">
        <w:rPr>
          <w:rFonts w:cs="Arial"/>
        </w:rPr>
        <w:t xml:space="preserve"> the same concentration.</w:t>
      </w:r>
      <w:r w:rsidR="002D0603">
        <w:rPr>
          <w:rFonts w:cs="Arial"/>
        </w:rPr>
        <w:t xml:space="preserve"> </w:t>
      </w:r>
      <w:r w:rsidR="007D1220">
        <w:rPr>
          <w:rFonts w:cs="Arial"/>
        </w:rPr>
        <w:t>The</w:t>
      </w:r>
      <w:r w:rsidR="002D0603">
        <w:rPr>
          <w:rFonts w:cs="Arial"/>
        </w:rPr>
        <w:t xml:space="preserve"> graft union is </w:t>
      </w:r>
      <w:r w:rsidR="007D1220">
        <w:rPr>
          <w:rFonts w:cs="Arial"/>
        </w:rPr>
        <w:t xml:space="preserve">therefore </w:t>
      </w:r>
      <w:r w:rsidR="002D0603">
        <w:rPr>
          <w:rFonts w:cs="Arial"/>
        </w:rPr>
        <w:t>not a selective barrier, nor is it a source of other solutes moving up or down the plant.</w:t>
      </w:r>
    </w:p>
    <w:p w:rsidR="00B53843" w:rsidRPr="006E3FAA" w:rsidRDefault="009134AE" w:rsidP="005B669C">
      <w:pPr>
        <w:pStyle w:val="Heading5"/>
      </w:pPr>
      <w:r>
        <w:t>Panel d</w:t>
      </w:r>
      <w:r w:rsidR="00A000AE" w:rsidRPr="006E3FAA">
        <w:t>iscussion</w:t>
      </w:r>
    </w:p>
    <w:p w:rsidR="009937E9" w:rsidRDefault="00CB7AF3" w:rsidP="005B669C">
      <w:pPr>
        <w:rPr>
          <w:rFonts w:cs="Arial"/>
        </w:rPr>
      </w:pPr>
      <w:r>
        <w:rPr>
          <w:rFonts w:cs="Arial"/>
        </w:rPr>
        <w:t xml:space="preserve">The main points </w:t>
      </w:r>
      <w:r w:rsidR="00AD441C">
        <w:rPr>
          <w:rFonts w:cs="Arial"/>
        </w:rPr>
        <w:t>from</w:t>
      </w:r>
      <w:r w:rsidR="00C4187C">
        <w:rPr>
          <w:rFonts w:cs="Arial"/>
        </w:rPr>
        <w:t xml:space="preserve"> the </w:t>
      </w:r>
      <w:r w:rsidR="00AD441C">
        <w:rPr>
          <w:rFonts w:cs="Arial"/>
        </w:rPr>
        <w:t xml:space="preserve">panel </w:t>
      </w:r>
      <w:r w:rsidR="00C4187C">
        <w:rPr>
          <w:rFonts w:cs="Arial"/>
        </w:rPr>
        <w:t xml:space="preserve">discussion </w:t>
      </w:r>
      <w:r>
        <w:rPr>
          <w:rFonts w:cs="Arial"/>
        </w:rPr>
        <w:t>are summarised below</w:t>
      </w:r>
      <w:r w:rsidR="000978AF">
        <w:rPr>
          <w:rFonts w:cs="Arial"/>
        </w:rPr>
        <w:t>.</w:t>
      </w:r>
    </w:p>
    <w:p w:rsidR="009937E9" w:rsidRDefault="009937E9" w:rsidP="005B669C">
      <w:pPr>
        <w:rPr>
          <w:rFonts w:cs="Arial"/>
        </w:rPr>
      </w:pPr>
    </w:p>
    <w:p w:rsidR="00D725BB" w:rsidRDefault="008A34E0" w:rsidP="00DC6F63">
      <w:pPr>
        <w:pStyle w:val="ListParagraph"/>
        <w:numPr>
          <w:ilvl w:val="0"/>
          <w:numId w:val="5"/>
        </w:numPr>
        <w:rPr>
          <w:rFonts w:cs="Arial"/>
        </w:rPr>
      </w:pPr>
      <w:r>
        <w:rPr>
          <w:rFonts w:cs="Arial"/>
        </w:rPr>
        <w:t>The</w:t>
      </w:r>
      <w:r w:rsidRPr="00CB7AF3">
        <w:rPr>
          <w:rFonts w:cs="Arial"/>
        </w:rPr>
        <w:t xml:space="preserve"> food produced by a non-GM scion grafted onto a GM rootstock </w:t>
      </w:r>
      <w:r>
        <w:rPr>
          <w:rFonts w:cs="Arial"/>
        </w:rPr>
        <w:t>does not</w:t>
      </w:r>
      <w:r w:rsidRPr="00CB7AF3">
        <w:rPr>
          <w:rFonts w:cs="Arial"/>
        </w:rPr>
        <w:t xml:space="preserve"> contain </w:t>
      </w:r>
      <w:r>
        <w:rPr>
          <w:rFonts w:cs="Arial"/>
        </w:rPr>
        <w:t>any</w:t>
      </w:r>
      <w:r w:rsidRPr="00CB7AF3">
        <w:rPr>
          <w:rFonts w:cs="Arial"/>
        </w:rPr>
        <w:t xml:space="preserve"> modified DNA</w:t>
      </w:r>
      <w:r>
        <w:rPr>
          <w:rFonts w:cs="Arial"/>
        </w:rPr>
        <w:t>. However</w:t>
      </w:r>
      <w:r w:rsidRPr="00CB7AF3">
        <w:rPr>
          <w:rFonts w:cs="Arial"/>
        </w:rPr>
        <w:t xml:space="preserve">, the evidence indicates there could potentially be </w:t>
      </w:r>
      <w:r>
        <w:rPr>
          <w:rFonts w:cs="Arial"/>
        </w:rPr>
        <w:t xml:space="preserve">novel gene products (such as RNA or proteins) moving from the rootstock </w:t>
      </w:r>
      <w:r w:rsidRPr="00CB7AF3">
        <w:rPr>
          <w:rFonts w:cs="Arial"/>
        </w:rPr>
        <w:t>in</w:t>
      </w:r>
      <w:r>
        <w:rPr>
          <w:rFonts w:cs="Arial"/>
        </w:rPr>
        <w:t>to</w:t>
      </w:r>
      <w:r w:rsidRPr="00CB7AF3">
        <w:rPr>
          <w:rFonts w:cs="Arial"/>
        </w:rPr>
        <w:t xml:space="preserve"> the scion and potentially also </w:t>
      </w:r>
      <w:r>
        <w:rPr>
          <w:rFonts w:cs="Arial"/>
        </w:rPr>
        <w:t xml:space="preserve">into </w:t>
      </w:r>
      <w:r w:rsidRPr="00CB7AF3">
        <w:rPr>
          <w:rFonts w:cs="Arial"/>
        </w:rPr>
        <w:t xml:space="preserve">food products (eg fruit). In some cases, the genetic modification to the rootstock may be done to intentionally alter characteristics in the food product. </w:t>
      </w:r>
      <w:r>
        <w:rPr>
          <w:rFonts w:cs="Arial"/>
        </w:rPr>
        <w:t xml:space="preserve">These changes, transmitted via the rootstock, would not be heritable through the seed which is produced in the non-GM scion. </w:t>
      </w:r>
      <w:r w:rsidRPr="00CB7AF3">
        <w:rPr>
          <w:rFonts w:cs="Arial"/>
        </w:rPr>
        <w:t xml:space="preserve">Some examples </w:t>
      </w:r>
      <w:r>
        <w:rPr>
          <w:rFonts w:cs="Arial"/>
        </w:rPr>
        <w:t>where a genetic modification to the rootstock</w:t>
      </w:r>
      <w:r w:rsidRPr="00CB7AF3">
        <w:rPr>
          <w:rFonts w:cs="Arial"/>
        </w:rPr>
        <w:t xml:space="preserve"> could alter food characteristics include the use of RNAi to </w:t>
      </w:r>
      <w:r>
        <w:rPr>
          <w:rFonts w:cs="Arial"/>
        </w:rPr>
        <w:t>produce</w:t>
      </w:r>
      <w:r w:rsidRPr="00CB7AF3">
        <w:rPr>
          <w:rFonts w:cs="Arial"/>
        </w:rPr>
        <w:t xml:space="preserve"> non-browning</w:t>
      </w:r>
      <w:r>
        <w:rPr>
          <w:rFonts w:cs="Arial"/>
        </w:rPr>
        <w:t xml:space="preserve"> apples</w:t>
      </w:r>
      <w:r w:rsidRPr="00CB7AF3">
        <w:rPr>
          <w:rFonts w:cs="Arial"/>
        </w:rPr>
        <w:t xml:space="preserve"> or seedless fruit</w:t>
      </w:r>
      <w:r>
        <w:rPr>
          <w:rFonts w:cs="Arial"/>
        </w:rPr>
        <w:t>. M</w:t>
      </w:r>
      <w:r w:rsidRPr="00CB7AF3">
        <w:rPr>
          <w:rFonts w:cs="Arial"/>
        </w:rPr>
        <w:t xml:space="preserve">ost of the applications of GM rootstock grafting would not be of that type </w:t>
      </w:r>
      <w:r>
        <w:rPr>
          <w:rFonts w:cs="Arial"/>
        </w:rPr>
        <w:t xml:space="preserve">however </w:t>
      </w:r>
      <w:r w:rsidRPr="00CB7AF3">
        <w:rPr>
          <w:rFonts w:cs="Arial"/>
        </w:rPr>
        <w:t xml:space="preserve">and the presence of </w:t>
      </w:r>
      <w:r>
        <w:rPr>
          <w:rFonts w:cs="Arial"/>
        </w:rPr>
        <w:t>novel gene products</w:t>
      </w:r>
      <w:r w:rsidRPr="00CB7AF3">
        <w:rPr>
          <w:rFonts w:cs="Arial"/>
        </w:rPr>
        <w:t xml:space="preserve"> in the scion, should it occur, would </w:t>
      </w:r>
      <w:r>
        <w:rPr>
          <w:rFonts w:cs="Arial"/>
        </w:rPr>
        <w:t xml:space="preserve">typically </w:t>
      </w:r>
      <w:r w:rsidRPr="00CB7AF3">
        <w:rPr>
          <w:rFonts w:cs="Arial"/>
        </w:rPr>
        <w:t>not alter the characteristics of the food</w:t>
      </w:r>
      <w:r w:rsidR="00937CD2" w:rsidRPr="00CB7AF3">
        <w:rPr>
          <w:rFonts w:cs="Arial"/>
        </w:rPr>
        <w:t>.</w:t>
      </w:r>
    </w:p>
    <w:p w:rsidR="00866197" w:rsidRDefault="00866197" w:rsidP="005B669C">
      <w:pPr>
        <w:rPr>
          <w:rFonts w:cs="Arial"/>
        </w:rPr>
      </w:pPr>
    </w:p>
    <w:p w:rsidR="00BD416B" w:rsidRPr="00A85B75" w:rsidRDefault="00BD416B" w:rsidP="00DC6F63">
      <w:pPr>
        <w:pStyle w:val="ListParagraph"/>
        <w:numPr>
          <w:ilvl w:val="0"/>
          <w:numId w:val="5"/>
        </w:numPr>
        <w:rPr>
          <w:rFonts w:cs="Arial"/>
        </w:rPr>
      </w:pPr>
      <w:r w:rsidRPr="00A85B75">
        <w:rPr>
          <w:rFonts w:cs="Arial"/>
        </w:rPr>
        <w:t xml:space="preserve">Although the rootstock and the scion exist together as a composite </w:t>
      </w:r>
      <w:r w:rsidR="004217C6" w:rsidRPr="00A85B75">
        <w:rPr>
          <w:rFonts w:cs="Arial"/>
        </w:rPr>
        <w:t xml:space="preserve">plant consisting </w:t>
      </w:r>
      <w:r w:rsidRPr="00A85B75">
        <w:rPr>
          <w:rFonts w:cs="Arial"/>
        </w:rPr>
        <w:t>of two different genotypes, the grafted plant essentially functions as a single organism with both the rootstock and the scion being connected by a single vascular system</w:t>
      </w:r>
      <w:r w:rsidR="004217C6" w:rsidRPr="00A85B75">
        <w:rPr>
          <w:rFonts w:cs="Arial"/>
        </w:rPr>
        <w:t>.</w:t>
      </w:r>
      <w:r w:rsidR="00395CAA" w:rsidRPr="00A85B75">
        <w:rPr>
          <w:rFonts w:cs="Arial"/>
        </w:rPr>
        <w:t xml:space="preserve">  </w:t>
      </w:r>
      <w:r w:rsidR="00135FB5">
        <w:rPr>
          <w:rFonts w:cs="Arial"/>
        </w:rPr>
        <w:t>As a</w:t>
      </w:r>
      <w:r w:rsidR="004217C6" w:rsidRPr="00A85B75">
        <w:rPr>
          <w:rFonts w:cs="Arial"/>
        </w:rPr>
        <w:t xml:space="preserve"> grafted plant </w:t>
      </w:r>
      <w:r w:rsidR="00135FB5">
        <w:rPr>
          <w:rFonts w:cs="Arial"/>
        </w:rPr>
        <w:t>can</w:t>
      </w:r>
      <w:r w:rsidR="00135FB5" w:rsidRPr="00A85B75">
        <w:rPr>
          <w:rFonts w:cs="Arial"/>
        </w:rPr>
        <w:t xml:space="preserve"> </w:t>
      </w:r>
      <w:r w:rsidR="004217C6" w:rsidRPr="00A85B75">
        <w:rPr>
          <w:rFonts w:cs="Arial"/>
        </w:rPr>
        <w:t xml:space="preserve">essentially </w:t>
      </w:r>
      <w:r w:rsidR="00135FB5">
        <w:rPr>
          <w:rFonts w:cs="Arial"/>
        </w:rPr>
        <w:t xml:space="preserve">be regarded as </w:t>
      </w:r>
      <w:r w:rsidR="004217C6" w:rsidRPr="00A85B75">
        <w:rPr>
          <w:rFonts w:cs="Arial"/>
        </w:rPr>
        <w:t>a single organism,</w:t>
      </w:r>
      <w:r w:rsidRPr="00A85B75">
        <w:rPr>
          <w:rFonts w:cs="Arial"/>
        </w:rPr>
        <w:t xml:space="preserve"> </w:t>
      </w:r>
      <w:r w:rsidR="004217C6" w:rsidRPr="00A85B75">
        <w:rPr>
          <w:rFonts w:cs="Arial"/>
        </w:rPr>
        <w:t xml:space="preserve">a plant with a GM rootstock </w:t>
      </w:r>
      <w:r w:rsidR="00F87ED4">
        <w:rPr>
          <w:rFonts w:cs="Arial"/>
        </w:rPr>
        <w:t>should</w:t>
      </w:r>
      <w:r w:rsidR="004217C6" w:rsidRPr="00A85B75">
        <w:rPr>
          <w:rFonts w:cs="Arial"/>
        </w:rPr>
        <w:t xml:space="preserve"> </w:t>
      </w:r>
      <w:r w:rsidR="000C3D14">
        <w:rPr>
          <w:rFonts w:cs="Arial"/>
        </w:rPr>
        <w:t xml:space="preserve">therefore </w:t>
      </w:r>
      <w:r w:rsidR="004217C6" w:rsidRPr="00A85B75">
        <w:rPr>
          <w:rFonts w:cs="Arial"/>
        </w:rPr>
        <w:t>be regarded as a GMO</w:t>
      </w:r>
      <w:r w:rsidRPr="00A85B75">
        <w:rPr>
          <w:rFonts w:cs="Arial"/>
        </w:rPr>
        <w:t xml:space="preserve">. </w:t>
      </w:r>
    </w:p>
    <w:p w:rsidR="00C719D7" w:rsidRPr="00C719D7" w:rsidRDefault="00C719D7" w:rsidP="005B669C">
      <w:pPr>
        <w:rPr>
          <w:rFonts w:cs="Arial"/>
        </w:rPr>
      </w:pPr>
    </w:p>
    <w:p w:rsidR="00410B88" w:rsidRDefault="00B7459D" w:rsidP="00DC6F63">
      <w:pPr>
        <w:pStyle w:val="ListParagraph"/>
        <w:numPr>
          <w:ilvl w:val="0"/>
          <w:numId w:val="5"/>
        </w:numPr>
        <w:rPr>
          <w:rFonts w:cs="Arial"/>
        </w:rPr>
      </w:pPr>
      <w:r>
        <w:rPr>
          <w:rFonts w:cs="Arial"/>
        </w:rPr>
        <w:t xml:space="preserve">Where </w:t>
      </w:r>
      <w:r w:rsidR="00410B88">
        <w:rPr>
          <w:rFonts w:cs="Arial"/>
        </w:rPr>
        <w:t>there is transmission of GM material to the food produc</w:t>
      </w:r>
      <w:r>
        <w:rPr>
          <w:rFonts w:cs="Arial"/>
        </w:rPr>
        <w:t>ing parts of the plant</w:t>
      </w:r>
      <w:r w:rsidR="00410B88">
        <w:rPr>
          <w:rFonts w:cs="Arial"/>
        </w:rPr>
        <w:t xml:space="preserve"> or the modification of the rootstock is intended to target the fruit or other edible products derived from the scion, there is a need for regulatory oversight to ensure any potential human health risks associated with consumption of the food are adequately assessed.</w:t>
      </w:r>
    </w:p>
    <w:p w:rsidR="00410B88" w:rsidRPr="00410B88" w:rsidRDefault="00410B88" w:rsidP="005B669C">
      <w:pPr>
        <w:rPr>
          <w:rFonts w:cs="Arial"/>
        </w:rPr>
      </w:pPr>
    </w:p>
    <w:p w:rsidR="00A85B75" w:rsidRDefault="0078308E" w:rsidP="00DC6F63">
      <w:pPr>
        <w:pStyle w:val="ListParagraph"/>
        <w:numPr>
          <w:ilvl w:val="0"/>
          <w:numId w:val="5"/>
        </w:numPr>
        <w:rPr>
          <w:rFonts w:cs="Arial"/>
        </w:rPr>
      </w:pPr>
      <w:r>
        <w:rPr>
          <w:rFonts w:cs="Arial"/>
        </w:rPr>
        <w:t xml:space="preserve">The </w:t>
      </w:r>
      <w:r w:rsidR="008E4193">
        <w:rPr>
          <w:rFonts w:cs="Arial"/>
        </w:rPr>
        <w:t>OGTR</w:t>
      </w:r>
      <w:r>
        <w:rPr>
          <w:rFonts w:cs="Arial"/>
        </w:rPr>
        <w:t>, as part of its regulation of GMOs, would undertake an assessment of risks to human health and safety and the environment, part of which involves consultation with FSANZ. While such an assessment provides an avenue to address potential food safety risks associated with grafted plants grown in Australia, it would not necessarily address potential risks from imported foods, including those produced in New Zealand.</w:t>
      </w:r>
      <w:r w:rsidR="00E17BC7">
        <w:rPr>
          <w:rFonts w:cs="Arial"/>
        </w:rPr>
        <w:t xml:space="preserve"> </w:t>
      </w:r>
    </w:p>
    <w:p w:rsidR="00A85B75" w:rsidRPr="00A85B75" w:rsidRDefault="00A85B75" w:rsidP="005B669C">
      <w:pPr>
        <w:pStyle w:val="ListParagraph"/>
        <w:rPr>
          <w:rFonts w:cs="Arial"/>
        </w:rPr>
      </w:pPr>
    </w:p>
    <w:p w:rsidR="007D3E6D" w:rsidRDefault="008C1B5B" w:rsidP="00DC6F63">
      <w:pPr>
        <w:pStyle w:val="ListParagraph"/>
        <w:numPr>
          <w:ilvl w:val="0"/>
          <w:numId w:val="5"/>
        </w:numPr>
        <w:rPr>
          <w:rFonts w:cs="Arial"/>
        </w:rPr>
      </w:pPr>
      <w:r>
        <w:rPr>
          <w:rFonts w:cs="Arial"/>
        </w:rPr>
        <w:t>FSANZ could consider a tiered approach to the assessment of foods derived from GM rootstock plants that reflects differences in potential food safety concerns depending on the genetic modification in the rootstock. While a safety assessment would be essential in situations where there is transmission of GM material to the food or where the trait was intended to modify the food, a simplified process could be adopted for the majority of cases where there will be no detectable effects or differences in the food compared with that from a conventional plant.</w:t>
      </w:r>
    </w:p>
    <w:p w:rsidR="004A78A5" w:rsidRPr="004A78A5" w:rsidRDefault="004A78A5" w:rsidP="005B669C">
      <w:pPr>
        <w:pStyle w:val="ListParagraph"/>
        <w:rPr>
          <w:rFonts w:cs="Arial"/>
        </w:rPr>
      </w:pPr>
    </w:p>
    <w:p w:rsidR="004A78A5" w:rsidRDefault="00C04ECD" w:rsidP="00DC6F63">
      <w:pPr>
        <w:pStyle w:val="ListParagraph"/>
        <w:numPr>
          <w:ilvl w:val="0"/>
          <w:numId w:val="5"/>
        </w:numPr>
        <w:rPr>
          <w:rFonts w:cs="Arial"/>
        </w:rPr>
      </w:pPr>
      <w:r w:rsidRPr="0019014F">
        <w:rPr>
          <w:rFonts w:cs="Arial"/>
        </w:rPr>
        <w:t xml:space="preserve">FSANZ </w:t>
      </w:r>
      <w:r>
        <w:rPr>
          <w:rFonts w:cs="Arial"/>
        </w:rPr>
        <w:t>could</w:t>
      </w:r>
      <w:r w:rsidRPr="0019014F">
        <w:rPr>
          <w:rFonts w:cs="Arial"/>
        </w:rPr>
        <w:t xml:space="preserve"> consider whether assessment and approval of a particular GM rootstock would, in certain cases, be sufficiently protective of public health and safety to justify excluding the non-GM scion from assessment. This approach would </w:t>
      </w:r>
      <w:r>
        <w:rPr>
          <w:rFonts w:cs="Arial"/>
        </w:rPr>
        <w:t xml:space="preserve">ensure food safety while eliminating the costs associated with unnecessary assessments of multiple non-GM scions.  In these cases, the developer of the GM rootstock would be responsible for generating data and </w:t>
      </w:r>
      <w:r w:rsidRPr="0019014F">
        <w:rPr>
          <w:rFonts w:cs="Arial"/>
        </w:rPr>
        <w:t xml:space="preserve">seeking regulatory </w:t>
      </w:r>
      <w:r>
        <w:rPr>
          <w:rFonts w:cs="Arial"/>
        </w:rPr>
        <w:t>approval</w:t>
      </w:r>
      <w:r w:rsidR="002D3DFC">
        <w:rPr>
          <w:rFonts w:cs="Arial"/>
        </w:rPr>
        <w:t xml:space="preserve">. </w:t>
      </w:r>
    </w:p>
    <w:p w:rsidR="009937E9" w:rsidRPr="00960C34" w:rsidRDefault="00981AF5" w:rsidP="005B669C">
      <w:pPr>
        <w:pStyle w:val="Heading5"/>
      </w:pPr>
      <w:r w:rsidRPr="00960C34">
        <w:t>Conclusions</w:t>
      </w:r>
      <w:r w:rsidR="00133CF6" w:rsidRPr="00960C34">
        <w:t xml:space="preserve"> </w:t>
      </w:r>
    </w:p>
    <w:p w:rsidR="00981AF5" w:rsidRDefault="00ED2349" w:rsidP="005B669C">
      <w:pPr>
        <w:rPr>
          <w:rFonts w:cs="Arial"/>
        </w:rPr>
      </w:pPr>
      <w:r>
        <w:rPr>
          <w:rFonts w:cs="Arial"/>
        </w:rPr>
        <w:t>The panel concluded the following:</w:t>
      </w:r>
    </w:p>
    <w:p w:rsidR="00ED2349" w:rsidRDefault="00ED2349" w:rsidP="005B669C">
      <w:pPr>
        <w:rPr>
          <w:rFonts w:cs="Arial"/>
        </w:rPr>
      </w:pPr>
    </w:p>
    <w:p w:rsidR="00F64B38" w:rsidRDefault="00F64B38" w:rsidP="00DC6F63">
      <w:pPr>
        <w:pStyle w:val="ListParagraph"/>
        <w:numPr>
          <w:ilvl w:val="0"/>
          <w:numId w:val="7"/>
        </w:numPr>
        <w:rPr>
          <w:rFonts w:cs="Arial"/>
        </w:rPr>
      </w:pPr>
      <w:r>
        <w:rPr>
          <w:rFonts w:cs="Arial"/>
        </w:rPr>
        <w:t>The grafted plant, consisting of a GM rootstock and a non-GM scion</w:t>
      </w:r>
      <w:r w:rsidR="00EA0D1D">
        <w:rPr>
          <w:rFonts w:cs="Arial"/>
        </w:rPr>
        <w:t>,</w:t>
      </w:r>
      <w:r>
        <w:rPr>
          <w:rFonts w:cs="Arial"/>
        </w:rPr>
        <w:t xml:space="preserve"> can essentially be regarded as a single organism. A grafted plant possessing a GM rootstock can therefore be regarded as a GMO. </w:t>
      </w:r>
    </w:p>
    <w:p w:rsidR="00F64B38" w:rsidRDefault="00F64B38" w:rsidP="00F64B38">
      <w:pPr>
        <w:pStyle w:val="ListParagraph"/>
        <w:ind w:left="360"/>
        <w:rPr>
          <w:rFonts w:cs="Arial"/>
        </w:rPr>
      </w:pPr>
    </w:p>
    <w:p w:rsidR="00ED2349" w:rsidRDefault="00B62930" w:rsidP="00DC6F63">
      <w:pPr>
        <w:pStyle w:val="ListParagraph"/>
        <w:numPr>
          <w:ilvl w:val="0"/>
          <w:numId w:val="7"/>
        </w:numPr>
        <w:rPr>
          <w:rFonts w:cs="Arial"/>
        </w:rPr>
      </w:pPr>
      <w:r>
        <w:rPr>
          <w:rFonts w:cs="Arial"/>
        </w:rPr>
        <w:t>The</w:t>
      </w:r>
      <w:r w:rsidRPr="00CB7AF3">
        <w:rPr>
          <w:rFonts w:cs="Arial"/>
        </w:rPr>
        <w:t xml:space="preserve"> food produced by a non-GM scion grafted onto a GM rootstock </w:t>
      </w:r>
      <w:r>
        <w:rPr>
          <w:rFonts w:cs="Arial"/>
        </w:rPr>
        <w:t>does not contain any modified DNA; however the scion and the food may contain novel gene products</w:t>
      </w:r>
      <w:r w:rsidRPr="00CB7AF3">
        <w:rPr>
          <w:rFonts w:cs="Arial"/>
        </w:rPr>
        <w:t xml:space="preserve"> </w:t>
      </w:r>
      <w:r>
        <w:rPr>
          <w:rFonts w:cs="Arial"/>
        </w:rPr>
        <w:t>(RNA or protein) and have altered characteristics as a result of the genetic modification to the rootstock</w:t>
      </w:r>
      <w:r w:rsidR="00ED2349" w:rsidRPr="00CB7AF3">
        <w:rPr>
          <w:rFonts w:cs="Arial"/>
        </w:rPr>
        <w:t>.</w:t>
      </w:r>
    </w:p>
    <w:p w:rsidR="00570A29" w:rsidRPr="00570A29" w:rsidRDefault="00570A29" w:rsidP="005B669C">
      <w:pPr>
        <w:pStyle w:val="ListParagraph"/>
        <w:rPr>
          <w:rFonts w:cs="Arial"/>
        </w:rPr>
      </w:pPr>
    </w:p>
    <w:p w:rsidR="00327F9B" w:rsidRPr="00EA0D1D" w:rsidRDefault="00B62930" w:rsidP="00DC6F63">
      <w:pPr>
        <w:pStyle w:val="ListParagraph"/>
        <w:numPr>
          <w:ilvl w:val="0"/>
          <w:numId w:val="7"/>
        </w:numPr>
        <w:rPr>
          <w:rFonts w:cs="Arial"/>
        </w:rPr>
      </w:pPr>
      <w:r>
        <w:rPr>
          <w:rFonts w:cs="Arial"/>
        </w:rPr>
        <w:t xml:space="preserve">The food from a GM rootstock grafted plant should be regarded as GM food and undergo premarket safety assessment.  However, a simplified safety assessment would be appropriate in cases where there is no transmission of novel gene products to the food and no altered characteristics as a result of the genetic modification to the rootstock. </w:t>
      </w:r>
      <w:r w:rsidRPr="00327F9B">
        <w:rPr>
          <w:rFonts w:cs="Arial"/>
        </w:rPr>
        <w:t>Depending on the nature of the genetic modification</w:t>
      </w:r>
      <w:r w:rsidRPr="000B02B6">
        <w:rPr>
          <w:rFonts w:cs="Arial"/>
        </w:rPr>
        <w:t xml:space="preserve">, </w:t>
      </w:r>
      <w:r w:rsidRPr="00E56548">
        <w:rPr>
          <w:rFonts w:cs="Arial"/>
        </w:rPr>
        <w:t xml:space="preserve">it </w:t>
      </w:r>
      <w:r w:rsidRPr="00DC5F55">
        <w:rPr>
          <w:rFonts w:cs="Arial"/>
        </w:rPr>
        <w:t>may</w:t>
      </w:r>
      <w:r w:rsidRPr="00455F30">
        <w:rPr>
          <w:rFonts w:cs="Arial"/>
        </w:rPr>
        <w:t xml:space="preserve"> be appropriate to focus the assessment and approval process only on the GM rootstock itself, which would allow grafting of any non-GM scion onto </w:t>
      </w:r>
      <w:r w:rsidRPr="00EA0D1D">
        <w:rPr>
          <w:rFonts w:cs="Arial"/>
        </w:rPr>
        <w:t>an approved GM rootstock</w:t>
      </w:r>
      <w:r>
        <w:rPr>
          <w:rFonts w:cs="Arial"/>
        </w:rPr>
        <w:t xml:space="preserve"> without the need for individual assessment of the composite plant</w:t>
      </w:r>
      <w:r w:rsidR="00327F9B" w:rsidRPr="00EA0D1D">
        <w:rPr>
          <w:rFonts w:cs="Arial"/>
        </w:rPr>
        <w:t>.</w:t>
      </w:r>
    </w:p>
    <w:p w:rsidR="00BC7E21" w:rsidRDefault="00BC7E21">
      <w:pPr>
        <w:spacing w:after="200" w:line="276" w:lineRule="auto"/>
        <w:rPr>
          <w:rFonts w:eastAsiaTheme="majorEastAsia" w:cstheme="majorBidi"/>
          <w:b/>
          <w:bCs/>
          <w:i/>
          <w:iCs/>
        </w:rPr>
      </w:pPr>
      <w:r>
        <w:br w:type="page"/>
      </w:r>
    </w:p>
    <w:p w:rsidR="00FD20E5" w:rsidRPr="006E3FAA" w:rsidRDefault="00FD20E5" w:rsidP="00984BE1">
      <w:pPr>
        <w:pStyle w:val="Heading3"/>
      </w:pPr>
      <w:bookmarkStart w:id="8" w:name="_Toc350235770"/>
      <w:r>
        <w:t>Oligo-directed Mutagenesis</w:t>
      </w:r>
      <w:bookmarkEnd w:id="8"/>
    </w:p>
    <w:p w:rsidR="00FD20E5" w:rsidRPr="006E3FAA" w:rsidRDefault="00FD20E5" w:rsidP="005B669C">
      <w:pPr>
        <w:pStyle w:val="Heading5"/>
      </w:pPr>
      <w:r w:rsidRPr="006E3FAA">
        <w:t>Summary of presentation</w:t>
      </w:r>
    </w:p>
    <w:p w:rsidR="00730269" w:rsidRDefault="00730269" w:rsidP="005B669C">
      <w:r>
        <w:t>Ol</w:t>
      </w:r>
      <w:r w:rsidR="00FD343D">
        <w:t xml:space="preserve">igo-directed mutagenesis (ODM) </w:t>
      </w:r>
      <w:r>
        <w:t xml:space="preserve">provides a tool for targeted mutagenesis in plant breeding and can be likened to ‘keyhole’ breeding that allows </w:t>
      </w:r>
      <w:r w:rsidR="008A0785">
        <w:t>small</w:t>
      </w:r>
      <w:r>
        <w:t xml:space="preserve"> changes (often a single nucleotide) to be made in the genome of the ‘parent’. The technique was first developed in yeast and mammal</w:t>
      </w:r>
      <w:r w:rsidR="00090194">
        <w:t>ian</w:t>
      </w:r>
      <w:r>
        <w:t xml:space="preserve"> </w:t>
      </w:r>
      <w:r w:rsidR="00933BEB">
        <w:t xml:space="preserve">systems </w:t>
      </w:r>
      <w:r>
        <w:t xml:space="preserve">before being used in plants, and has been </w:t>
      </w:r>
      <w:r w:rsidR="00933BEB">
        <w:t>used</w:t>
      </w:r>
      <w:r>
        <w:t xml:space="preserve"> for nearly 30 years.</w:t>
      </w:r>
    </w:p>
    <w:p w:rsidR="00730269" w:rsidRDefault="00730269" w:rsidP="005B669C"/>
    <w:p w:rsidR="00730269" w:rsidRDefault="00730269" w:rsidP="005B669C">
      <w:r>
        <w:t xml:space="preserve">The technology has various forms, the simplest of which </w:t>
      </w:r>
      <w:r w:rsidR="00933BEB">
        <w:t xml:space="preserve">involves the introduction of </w:t>
      </w:r>
      <w:r>
        <w:t xml:space="preserve">a short piece of chemically synthesised single-stranded DNA </w:t>
      </w:r>
      <w:r w:rsidR="0094100D">
        <w:t xml:space="preserve">(oligonucleotide) </w:t>
      </w:r>
      <w:r w:rsidR="00C459F6">
        <w:t xml:space="preserve">of known sequence </w:t>
      </w:r>
      <w:r>
        <w:t xml:space="preserve">into a cell </w:t>
      </w:r>
      <w:r w:rsidR="00933BEB">
        <w:t xml:space="preserve">which then </w:t>
      </w:r>
      <w:r w:rsidR="00C459F6">
        <w:t>hybridises to</w:t>
      </w:r>
      <w:r>
        <w:t xml:space="preserve"> a homologous </w:t>
      </w:r>
      <w:r w:rsidR="00EE7134">
        <w:t xml:space="preserve">target </w:t>
      </w:r>
      <w:r w:rsidR="00933BEB">
        <w:t xml:space="preserve">DNA </w:t>
      </w:r>
      <w:r>
        <w:t>sequence</w:t>
      </w:r>
      <w:r w:rsidR="00933BEB">
        <w:t xml:space="preserve"> in the genome</w:t>
      </w:r>
      <w:r>
        <w:t xml:space="preserve">. </w:t>
      </w:r>
      <w:r w:rsidRPr="00090194">
        <w:rPr>
          <w:i/>
        </w:rPr>
        <w:t>Agrobacterium</w:t>
      </w:r>
      <w:r w:rsidR="002F3370">
        <w:t>-mediated transformation</w:t>
      </w:r>
      <w:r>
        <w:t xml:space="preserve"> cannot be used for introducing the oligonucleotides into plant cells but there are a number of other different mechanisms</w:t>
      </w:r>
      <w:r w:rsidR="00C459F6">
        <w:t xml:space="preserve"> that can be used, such as</w:t>
      </w:r>
      <w:r>
        <w:t>:</w:t>
      </w:r>
      <w:r w:rsidR="002F3370">
        <w:t xml:space="preserve"> chemical (</w:t>
      </w:r>
      <w:r>
        <w:t>polyethylene glycol-mediated</w:t>
      </w:r>
      <w:r w:rsidR="002F3370">
        <w:t>); electroporation; and biolistics (shooting in gold particles coated in the oligonucleotide).</w:t>
      </w:r>
    </w:p>
    <w:p w:rsidR="002F3370" w:rsidRDefault="002F3370" w:rsidP="005B669C">
      <w:pPr>
        <w:pStyle w:val="ListParagraph"/>
      </w:pPr>
    </w:p>
    <w:p w:rsidR="00730269" w:rsidRDefault="00730269" w:rsidP="005B669C">
      <w:r>
        <w:t xml:space="preserve">The introduced oligonucleotide is </w:t>
      </w:r>
      <w:r w:rsidR="007C5CEE">
        <w:t>exactly complementary</w:t>
      </w:r>
      <w:r>
        <w:t xml:space="preserve"> to the native </w:t>
      </w:r>
      <w:r w:rsidR="00EE7134">
        <w:t xml:space="preserve">target </w:t>
      </w:r>
      <w:r>
        <w:t xml:space="preserve">sequence except for </w:t>
      </w:r>
      <w:r w:rsidR="004769A9">
        <w:t xml:space="preserve">a single </w:t>
      </w:r>
      <w:r w:rsidR="00016709">
        <w:t xml:space="preserve">nucleotide </w:t>
      </w:r>
      <w:r>
        <w:t>change</w:t>
      </w:r>
      <w:r w:rsidR="004769A9">
        <w:t xml:space="preserve"> that is to be incorporate</w:t>
      </w:r>
      <w:r w:rsidR="00016709">
        <w:t>d</w:t>
      </w:r>
      <w:r w:rsidR="004769A9">
        <w:t xml:space="preserve"> into the target sequence</w:t>
      </w:r>
      <w:r>
        <w:t>.</w:t>
      </w:r>
      <w:r w:rsidR="00016709">
        <w:t xml:space="preserve"> Th</w:t>
      </w:r>
      <w:r w:rsidR="004769A9">
        <w:t>e</w:t>
      </w:r>
      <w:r w:rsidR="00016709">
        <w:t xml:space="preserve"> </w:t>
      </w:r>
      <w:r w:rsidR="006F7032">
        <w:t xml:space="preserve">single </w:t>
      </w:r>
      <w:r w:rsidR="00016709">
        <w:t xml:space="preserve">mismatch between the introduced oligonucleotide and the target sequence triggers the cell’s </w:t>
      </w:r>
      <w:r w:rsidR="004769A9">
        <w:t xml:space="preserve">DNA </w:t>
      </w:r>
      <w:r w:rsidR="00016709">
        <w:t>repair system</w:t>
      </w:r>
      <w:r w:rsidR="004769A9">
        <w:t xml:space="preserve"> </w:t>
      </w:r>
      <w:r w:rsidR="00684002">
        <w:t xml:space="preserve">resulting in </w:t>
      </w:r>
      <w:r w:rsidR="006211EA">
        <w:t xml:space="preserve">a change to the native </w:t>
      </w:r>
      <w:r w:rsidR="004769A9">
        <w:t xml:space="preserve">target </w:t>
      </w:r>
      <w:r w:rsidR="006211EA">
        <w:t>sequence</w:t>
      </w:r>
      <w:r w:rsidR="00684002">
        <w:t>.</w:t>
      </w:r>
      <w:r>
        <w:t xml:space="preserve"> </w:t>
      </w:r>
      <w:r w:rsidRPr="00576142">
        <w:t>This very simple</w:t>
      </w:r>
      <w:r>
        <w:t xml:space="preserve"> form of ODM using single-stranded DNA </w:t>
      </w:r>
      <w:r w:rsidR="00576142">
        <w:t>has proven to be</w:t>
      </w:r>
      <w:r>
        <w:t xml:space="preserve"> relatively inefficient therefore other oligonucleotide templates </w:t>
      </w:r>
      <w:r w:rsidR="00576142">
        <w:t>have been</w:t>
      </w:r>
      <w:r>
        <w:t xml:space="preserve"> developed comprising mi</w:t>
      </w:r>
      <w:r w:rsidR="00410B6F">
        <w:t xml:space="preserve">xtures of RNA and single </w:t>
      </w:r>
      <w:r>
        <w:t>stranded DNA, RNA</w:t>
      </w:r>
      <w:r w:rsidR="009C7C8F">
        <w:t xml:space="preserve"> only</w:t>
      </w:r>
      <w:r>
        <w:t>, or triple-helix-forming oligonucleotides.</w:t>
      </w:r>
    </w:p>
    <w:p w:rsidR="00730269" w:rsidRDefault="00730269" w:rsidP="005B669C"/>
    <w:p w:rsidR="00730269" w:rsidRDefault="00730269" w:rsidP="005B669C">
      <w:r>
        <w:t xml:space="preserve">The </w:t>
      </w:r>
      <w:r w:rsidR="00576142">
        <w:t xml:space="preserve">overall </w:t>
      </w:r>
      <w:r>
        <w:t>efficiency</w:t>
      </w:r>
      <w:r w:rsidR="00576142">
        <w:t xml:space="preserve"> of the technique</w:t>
      </w:r>
      <w:r>
        <w:t xml:space="preserve"> is very low</w:t>
      </w:r>
      <w:r w:rsidR="00FE59CD">
        <w:t xml:space="preserve">, which limits </w:t>
      </w:r>
      <w:r w:rsidR="00576142">
        <w:t>its</w:t>
      </w:r>
      <w:r w:rsidR="00FE59CD">
        <w:t xml:space="preserve"> application,</w:t>
      </w:r>
      <w:r>
        <w:t xml:space="preserve"> and there has to be a way of </w:t>
      </w:r>
      <w:r w:rsidR="001B6227">
        <w:t>selecting</w:t>
      </w:r>
      <w:r>
        <w:t xml:space="preserve"> </w:t>
      </w:r>
      <w:r w:rsidR="00576142">
        <w:t xml:space="preserve">for </w:t>
      </w:r>
      <w:r>
        <w:t xml:space="preserve">the single base pair change. The two best </w:t>
      </w:r>
      <w:r w:rsidR="00576142">
        <w:t xml:space="preserve">plant </w:t>
      </w:r>
      <w:r>
        <w:t>examples are:</w:t>
      </w:r>
    </w:p>
    <w:p w:rsidR="00664B57" w:rsidRDefault="00664B57" w:rsidP="005B669C"/>
    <w:p w:rsidR="00730269" w:rsidRDefault="00664B57" w:rsidP="00DC6F63">
      <w:pPr>
        <w:pStyle w:val="ListParagraph"/>
        <w:numPr>
          <w:ilvl w:val="0"/>
          <w:numId w:val="8"/>
        </w:numPr>
        <w:ind w:left="360"/>
      </w:pPr>
      <w:r>
        <w:t>w</w:t>
      </w:r>
      <w:r w:rsidR="00730269">
        <w:t xml:space="preserve">here a </w:t>
      </w:r>
      <w:r w:rsidR="00576142">
        <w:t>non-functional</w:t>
      </w:r>
      <w:r w:rsidR="00730269">
        <w:t xml:space="preserve"> gene is </w:t>
      </w:r>
      <w:r w:rsidR="00576142">
        <w:t>corrected</w:t>
      </w:r>
      <w:r w:rsidR="00730269">
        <w:t xml:space="preserve"> by </w:t>
      </w:r>
      <w:r w:rsidR="00576142">
        <w:t xml:space="preserve">introducing </w:t>
      </w:r>
      <w:r w:rsidR="00730269">
        <w:t xml:space="preserve">a single </w:t>
      </w:r>
      <w:r w:rsidR="00576142">
        <w:t>nucleotide</w:t>
      </w:r>
      <w:r w:rsidR="00730269">
        <w:t xml:space="preserve"> change </w:t>
      </w:r>
      <w:r w:rsidR="004769A9">
        <w:t>(</w:t>
      </w:r>
      <w:r w:rsidR="00730269">
        <w:t>e.g. chlorsulfuron</w:t>
      </w:r>
      <w:r w:rsidR="008A0785">
        <w:t>, green fluorescent protein</w:t>
      </w:r>
      <w:r w:rsidR="004769A9">
        <w:t>)</w:t>
      </w:r>
      <w:r>
        <w:t>; and</w:t>
      </w:r>
    </w:p>
    <w:p w:rsidR="00664B57" w:rsidRDefault="00664B57" w:rsidP="005B669C">
      <w:pPr>
        <w:pStyle w:val="ListParagraph"/>
        <w:ind w:left="360"/>
      </w:pPr>
    </w:p>
    <w:p w:rsidR="00730269" w:rsidRDefault="004769A9" w:rsidP="00DC6F63">
      <w:pPr>
        <w:pStyle w:val="ListParagraph"/>
        <w:numPr>
          <w:ilvl w:val="0"/>
          <w:numId w:val="8"/>
        </w:numPr>
        <w:ind w:left="360"/>
      </w:pPr>
      <w:r>
        <w:t xml:space="preserve">Cibus Genetics LLC RTDS technology, which has led to herbicide-tolerant canola that is nearing commercialisation. </w:t>
      </w:r>
      <w:r w:rsidR="00FD343D">
        <w:t xml:space="preserve"> T</w:t>
      </w:r>
      <w:r w:rsidR="00576142">
        <w:t xml:space="preserve">he conversion of an imidazolinone-sensitive plant to an imidazolinone-tolerant plant </w:t>
      </w:r>
      <w:r>
        <w:t xml:space="preserve">was achieved </w:t>
      </w:r>
      <w:r w:rsidR="00576142">
        <w:t xml:space="preserve">by introducing a single nucleotide change (G to A at nucleotide 1958) into the </w:t>
      </w:r>
      <w:r w:rsidR="00730269">
        <w:t>A</w:t>
      </w:r>
      <w:r w:rsidR="00576142">
        <w:t xml:space="preserve">LS (acetolactate synthase) gene, which converts a serine to asparagine at amino acid position 653 </w:t>
      </w:r>
      <w:r>
        <w:t>of the enzyme</w:t>
      </w:r>
      <w:r w:rsidR="00730269">
        <w:t>.</w:t>
      </w:r>
    </w:p>
    <w:p w:rsidR="00730269" w:rsidRDefault="00730269" w:rsidP="005B669C"/>
    <w:p w:rsidR="00730269" w:rsidRDefault="00730269" w:rsidP="005B669C">
      <w:r>
        <w:t xml:space="preserve">One of the advantages of the technique is that, because of its specificity, off-target effects are minimal. However, in the early literature there were observations of changes on either side of the intended change. Importantly, however, the change that is </w:t>
      </w:r>
      <w:r w:rsidR="007501BB">
        <w:t>introduced</w:t>
      </w:r>
      <w:r>
        <w:t xml:space="preserve"> is really no different from </w:t>
      </w:r>
      <w:r w:rsidR="001012E4">
        <w:t xml:space="preserve">mutations </w:t>
      </w:r>
      <w:r>
        <w:t xml:space="preserve">that may occur </w:t>
      </w:r>
      <w:r w:rsidR="007501BB">
        <w:t>naturally</w:t>
      </w:r>
      <w:r>
        <w:t xml:space="preserve"> or with </w:t>
      </w:r>
      <w:r w:rsidR="007501BB">
        <w:t xml:space="preserve">other </w:t>
      </w:r>
      <w:r>
        <w:t xml:space="preserve">mutagenesis techniques such as those using ethyl methanesulfonate (EMS) or </w:t>
      </w:r>
      <w:r w:rsidR="007C5CEE">
        <w:t xml:space="preserve">ionizing </w:t>
      </w:r>
      <w:r>
        <w:t xml:space="preserve">irradiation where, as well as the intended change, </w:t>
      </w:r>
      <w:r w:rsidR="001012E4">
        <w:t>many</w:t>
      </w:r>
      <w:r>
        <w:t xml:space="preserve"> other </w:t>
      </w:r>
      <w:r w:rsidR="001012E4">
        <w:t xml:space="preserve">nucleotide </w:t>
      </w:r>
      <w:r w:rsidR="00213495">
        <w:t>changes to the genome</w:t>
      </w:r>
      <w:r w:rsidR="001012E4">
        <w:t xml:space="preserve"> can </w:t>
      </w:r>
      <w:r w:rsidR="00AB234B">
        <w:t xml:space="preserve">and do </w:t>
      </w:r>
      <w:r w:rsidR="001012E4">
        <w:t>occur</w:t>
      </w:r>
      <w:r w:rsidR="00213495">
        <w:t>.</w:t>
      </w:r>
    </w:p>
    <w:p w:rsidR="00760DD0" w:rsidRPr="00760DD0" w:rsidRDefault="00760DD0" w:rsidP="005B669C">
      <w:pPr>
        <w:pStyle w:val="Heading5"/>
      </w:pPr>
      <w:r w:rsidRPr="00760DD0">
        <w:t>Panel discussion</w:t>
      </w:r>
    </w:p>
    <w:p w:rsidR="00760DD0" w:rsidRDefault="00627F19" w:rsidP="005B669C">
      <w:pPr>
        <w:rPr>
          <w:rFonts w:cs="Arial"/>
        </w:rPr>
      </w:pPr>
      <w:r>
        <w:rPr>
          <w:rFonts w:cs="Arial"/>
        </w:rPr>
        <w:t xml:space="preserve">The main points </w:t>
      </w:r>
      <w:r w:rsidR="007469B4">
        <w:rPr>
          <w:rFonts w:cs="Arial"/>
        </w:rPr>
        <w:t>from</w:t>
      </w:r>
      <w:r>
        <w:rPr>
          <w:rFonts w:cs="Arial"/>
        </w:rPr>
        <w:t xml:space="preserve"> the panel discussion are summarised below</w:t>
      </w:r>
      <w:r w:rsidR="008864DD">
        <w:rPr>
          <w:rFonts w:cs="Arial"/>
        </w:rPr>
        <w:t>.</w:t>
      </w:r>
    </w:p>
    <w:p w:rsidR="00627F19" w:rsidRDefault="00627F19" w:rsidP="005B669C">
      <w:pPr>
        <w:rPr>
          <w:rFonts w:cs="Arial"/>
        </w:rPr>
      </w:pPr>
    </w:p>
    <w:p w:rsidR="00FA656E" w:rsidRPr="00B31EBE" w:rsidRDefault="00FA656E" w:rsidP="00DC6F63">
      <w:pPr>
        <w:pStyle w:val="ListParagraph"/>
        <w:numPr>
          <w:ilvl w:val="0"/>
          <w:numId w:val="10"/>
        </w:numPr>
        <w:rPr>
          <w:rFonts w:cs="Arial"/>
        </w:rPr>
      </w:pPr>
      <w:r>
        <w:rPr>
          <w:rFonts w:cs="Arial"/>
        </w:rPr>
        <w:t xml:space="preserve">The technique is limited in its application </w:t>
      </w:r>
      <w:r w:rsidR="003A43F4">
        <w:rPr>
          <w:rFonts w:cs="Arial"/>
        </w:rPr>
        <w:t xml:space="preserve">in plants </w:t>
      </w:r>
      <w:r>
        <w:rPr>
          <w:rFonts w:cs="Arial"/>
        </w:rPr>
        <w:t xml:space="preserve">because </w:t>
      </w:r>
      <w:r w:rsidR="00721952">
        <w:rPr>
          <w:rFonts w:cs="Arial"/>
        </w:rPr>
        <w:t xml:space="preserve">it introduces a small specific change into the genome at </w:t>
      </w:r>
      <w:r>
        <w:rPr>
          <w:rFonts w:cs="Arial"/>
        </w:rPr>
        <w:t xml:space="preserve">low efficiency which means ODM has mostly been used to produce mutations that result in a selectable phenotype (e.g. herbicide tolerance). There are however emerging technologies which will make screening for </w:t>
      </w:r>
      <w:r w:rsidR="00721952">
        <w:rPr>
          <w:rFonts w:cs="Arial"/>
        </w:rPr>
        <w:t xml:space="preserve">discrete </w:t>
      </w:r>
      <w:r>
        <w:rPr>
          <w:rFonts w:cs="Arial"/>
        </w:rPr>
        <w:t xml:space="preserve">mutations much easier, both in terms of efficiency as well as cost, therefore the technique may have broader application </w:t>
      </w:r>
      <w:r w:rsidR="00721952">
        <w:rPr>
          <w:rFonts w:cs="Arial"/>
        </w:rPr>
        <w:t>in plants</w:t>
      </w:r>
      <w:r>
        <w:rPr>
          <w:rFonts w:cs="Arial"/>
        </w:rPr>
        <w:t xml:space="preserve"> in the future.</w:t>
      </w:r>
    </w:p>
    <w:p w:rsidR="00FA656E" w:rsidRDefault="00FA656E" w:rsidP="005B669C">
      <w:pPr>
        <w:pStyle w:val="ListParagraph"/>
        <w:ind w:left="360"/>
        <w:rPr>
          <w:rFonts w:cs="Arial"/>
        </w:rPr>
      </w:pPr>
    </w:p>
    <w:p w:rsidR="001B338C" w:rsidRDefault="0006460A" w:rsidP="00DC6F63">
      <w:pPr>
        <w:pStyle w:val="ListParagraph"/>
        <w:numPr>
          <w:ilvl w:val="0"/>
          <w:numId w:val="10"/>
        </w:numPr>
        <w:rPr>
          <w:rFonts w:cs="Arial"/>
        </w:rPr>
      </w:pPr>
      <w:r>
        <w:rPr>
          <w:rFonts w:cs="Arial"/>
        </w:rPr>
        <w:t>Most of the published reports</w:t>
      </w:r>
      <w:r w:rsidR="00645427">
        <w:rPr>
          <w:rFonts w:cs="Arial"/>
        </w:rPr>
        <w:t xml:space="preserve"> in plants</w:t>
      </w:r>
      <w:r>
        <w:rPr>
          <w:rFonts w:cs="Arial"/>
        </w:rPr>
        <w:t xml:space="preserve"> describe </w:t>
      </w:r>
      <w:r w:rsidR="00830ECA">
        <w:rPr>
          <w:rFonts w:cs="Arial"/>
        </w:rPr>
        <w:t xml:space="preserve">single </w:t>
      </w:r>
      <w:r w:rsidR="00645427">
        <w:rPr>
          <w:rFonts w:cs="Arial"/>
        </w:rPr>
        <w:t>point mutations resulting in a single amino acid</w:t>
      </w:r>
      <w:r>
        <w:rPr>
          <w:rFonts w:cs="Arial"/>
        </w:rPr>
        <w:t xml:space="preserve"> substitution</w:t>
      </w:r>
      <w:r w:rsidR="000E4615">
        <w:rPr>
          <w:rFonts w:cs="Arial"/>
        </w:rPr>
        <w:t xml:space="preserve"> (eg the Cibus Genetics imidazolinone-tolerant canola)</w:t>
      </w:r>
      <w:r>
        <w:rPr>
          <w:rFonts w:cs="Arial"/>
        </w:rPr>
        <w:t xml:space="preserve">, however there </w:t>
      </w:r>
      <w:r w:rsidR="00373A2C">
        <w:rPr>
          <w:rFonts w:cs="Arial"/>
        </w:rPr>
        <w:t xml:space="preserve">appears to be </w:t>
      </w:r>
      <w:r>
        <w:rPr>
          <w:rFonts w:cs="Arial"/>
        </w:rPr>
        <w:t xml:space="preserve">no technical reason why the technique couldn’t </w:t>
      </w:r>
      <w:r w:rsidR="00286A4D">
        <w:rPr>
          <w:rFonts w:cs="Arial"/>
        </w:rPr>
        <w:t xml:space="preserve">also </w:t>
      </w:r>
      <w:r>
        <w:rPr>
          <w:rFonts w:cs="Arial"/>
        </w:rPr>
        <w:t>be used t</w:t>
      </w:r>
      <w:r w:rsidR="001B338C">
        <w:rPr>
          <w:rFonts w:cs="Arial"/>
        </w:rPr>
        <w:t xml:space="preserve">o delete or insert a </w:t>
      </w:r>
      <w:r w:rsidR="00A61731">
        <w:rPr>
          <w:rFonts w:cs="Arial"/>
        </w:rPr>
        <w:t xml:space="preserve">specific </w:t>
      </w:r>
      <w:r w:rsidR="001B338C">
        <w:rPr>
          <w:rFonts w:cs="Arial"/>
        </w:rPr>
        <w:t>nucleotide.</w:t>
      </w:r>
    </w:p>
    <w:p w:rsidR="001B338C" w:rsidRDefault="001B338C" w:rsidP="005B669C">
      <w:pPr>
        <w:pStyle w:val="ListParagraph"/>
        <w:ind w:left="360"/>
        <w:rPr>
          <w:rFonts w:cs="Arial"/>
        </w:rPr>
      </w:pPr>
    </w:p>
    <w:p w:rsidR="00627F19" w:rsidRDefault="00C5363A" w:rsidP="00DC6F63">
      <w:pPr>
        <w:pStyle w:val="ListParagraph"/>
        <w:numPr>
          <w:ilvl w:val="0"/>
          <w:numId w:val="10"/>
        </w:numPr>
        <w:rPr>
          <w:rFonts w:cs="Arial"/>
        </w:rPr>
      </w:pPr>
      <w:r>
        <w:rPr>
          <w:rFonts w:cs="Arial"/>
        </w:rPr>
        <w:t>In terms of the mechanism by which</w:t>
      </w:r>
      <w:r w:rsidR="00F243D7">
        <w:rPr>
          <w:rFonts w:cs="Arial"/>
        </w:rPr>
        <w:t xml:space="preserve"> mutations </w:t>
      </w:r>
      <w:r w:rsidR="00022DFD">
        <w:rPr>
          <w:rFonts w:cs="Arial"/>
        </w:rPr>
        <w:t xml:space="preserve">are introduced using this technique </w:t>
      </w:r>
      <w:r>
        <w:rPr>
          <w:rFonts w:cs="Arial"/>
        </w:rPr>
        <w:t>the</w:t>
      </w:r>
      <w:r w:rsidR="00022DFD">
        <w:rPr>
          <w:rFonts w:cs="Arial"/>
        </w:rPr>
        <w:t xml:space="preserve"> evidence </w:t>
      </w:r>
      <w:r w:rsidR="004F4201">
        <w:rPr>
          <w:rFonts w:cs="Arial"/>
        </w:rPr>
        <w:t xml:space="preserve">indicates </w:t>
      </w:r>
      <w:r w:rsidR="00022DFD">
        <w:rPr>
          <w:rFonts w:cs="Arial"/>
        </w:rPr>
        <w:t>that the oligo</w:t>
      </w:r>
      <w:r>
        <w:rPr>
          <w:rFonts w:cs="Arial"/>
        </w:rPr>
        <w:t>nucleotide</w:t>
      </w:r>
      <w:r w:rsidR="00022DFD">
        <w:rPr>
          <w:rFonts w:cs="Arial"/>
        </w:rPr>
        <w:t xml:space="preserve"> </w:t>
      </w:r>
      <w:r w:rsidR="004F4201">
        <w:rPr>
          <w:rFonts w:cs="Arial"/>
        </w:rPr>
        <w:t xml:space="preserve">carrying the mismatch </w:t>
      </w:r>
      <w:r w:rsidR="00022DFD">
        <w:rPr>
          <w:rFonts w:cs="Arial"/>
        </w:rPr>
        <w:t>hybridises to the target site</w:t>
      </w:r>
      <w:r w:rsidR="00B40850">
        <w:rPr>
          <w:rFonts w:cs="Arial"/>
        </w:rPr>
        <w:t xml:space="preserve"> </w:t>
      </w:r>
      <w:r w:rsidR="00022DFD">
        <w:rPr>
          <w:rFonts w:cs="Arial"/>
        </w:rPr>
        <w:t xml:space="preserve">and is then subsequently used as </w:t>
      </w:r>
      <w:r w:rsidR="00CF2287">
        <w:rPr>
          <w:rFonts w:cs="Arial"/>
        </w:rPr>
        <w:t xml:space="preserve">a </w:t>
      </w:r>
      <w:r w:rsidR="00022DFD">
        <w:rPr>
          <w:rFonts w:cs="Arial"/>
        </w:rPr>
        <w:t xml:space="preserve">template </w:t>
      </w:r>
      <w:r w:rsidR="00B40850">
        <w:rPr>
          <w:rFonts w:cs="Arial"/>
        </w:rPr>
        <w:t>by the cell</w:t>
      </w:r>
      <w:r w:rsidR="00994E85">
        <w:rPr>
          <w:rFonts w:cs="Arial"/>
        </w:rPr>
        <w:t>’</w:t>
      </w:r>
      <w:r w:rsidR="00B40850">
        <w:rPr>
          <w:rFonts w:cs="Arial"/>
        </w:rPr>
        <w:t xml:space="preserve">s </w:t>
      </w:r>
      <w:r w:rsidR="004F4201">
        <w:rPr>
          <w:rFonts w:cs="Arial"/>
        </w:rPr>
        <w:t xml:space="preserve">DNA </w:t>
      </w:r>
      <w:r w:rsidR="00B40850">
        <w:rPr>
          <w:rFonts w:cs="Arial"/>
        </w:rPr>
        <w:t xml:space="preserve">repair system </w:t>
      </w:r>
      <w:r w:rsidR="00022DFD">
        <w:rPr>
          <w:rFonts w:cs="Arial"/>
        </w:rPr>
        <w:t xml:space="preserve">to </w:t>
      </w:r>
      <w:r w:rsidR="004F4201">
        <w:rPr>
          <w:rFonts w:cs="Arial"/>
        </w:rPr>
        <w:t>introduce the mutation</w:t>
      </w:r>
      <w:r w:rsidR="00B40850">
        <w:rPr>
          <w:rFonts w:cs="Arial"/>
        </w:rPr>
        <w:t xml:space="preserve"> at the target site</w:t>
      </w:r>
      <w:r w:rsidR="00022DFD">
        <w:rPr>
          <w:rFonts w:cs="Arial"/>
        </w:rPr>
        <w:t>.</w:t>
      </w:r>
    </w:p>
    <w:p w:rsidR="00083659" w:rsidRDefault="00083659" w:rsidP="005B669C">
      <w:pPr>
        <w:pStyle w:val="ListParagraph"/>
        <w:ind w:left="360"/>
        <w:rPr>
          <w:rFonts w:cs="Arial"/>
        </w:rPr>
      </w:pPr>
    </w:p>
    <w:p w:rsidR="00066769" w:rsidRDefault="00E715D5" w:rsidP="00DC6F63">
      <w:pPr>
        <w:pStyle w:val="ListParagraph"/>
        <w:numPr>
          <w:ilvl w:val="0"/>
          <w:numId w:val="10"/>
        </w:numPr>
        <w:rPr>
          <w:rFonts w:cs="Arial"/>
        </w:rPr>
      </w:pPr>
      <w:r>
        <w:rPr>
          <w:rFonts w:cs="Arial"/>
        </w:rPr>
        <w:t xml:space="preserve">Given what is known about the mechanism and also that the technique relies </w:t>
      </w:r>
      <w:r w:rsidR="001068E8">
        <w:rPr>
          <w:rFonts w:cs="Arial"/>
        </w:rPr>
        <w:t xml:space="preserve">directly </w:t>
      </w:r>
      <w:r>
        <w:rPr>
          <w:rFonts w:cs="Arial"/>
        </w:rPr>
        <w:t xml:space="preserve">on a chemically synthesised </w:t>
      </w:r>
      <w:r w:rsidR="001068E8">
        <w:rPr>
          <w:rFonts w:cs="Arial"/>
        </w:rPr>
        <w:t>oligo</w:t>
      </w:r>
      <w:r>
        <w:rPr>
          <w:rFonts w:cs="Arial"/>
        </w:rPr>
        <w:t>nucleotide molecule</w:t>
      </w:r>
      <w:r w:rsidR="001068E8">
        <w:rPr>
          <w:rFonts w:cs="Arial"/>
        </w:rPr>
        <w:t xml:space="preserve">, ODM is not considered to be </w:t>
      </w:r>
      <w:r w:rsidR="00D92EE6">
        <w:rPr>
          <w:rFonts w:cs="Arial"/>
        </w:rPr>
        <w:t xml:space="preserve">a </w:t>
      </w:r>
      <w:r w:rsidR="001068E8">
        <w:rPr>
          <w:rFonts w:cs="Arial"/>
        </w:rPr>
        <w:t>recombinant-DNA technique</w:t>
      </w:r>
      <w:r w:rsidR="0050201F">
        <w:rPr>
          <w:rFonts w:cs="Arial"/>
        </w:rPr>
        <w:t>.</w:t>
      </w:r>
    </w:p>
    <w:p w:rsidR="00066769" w:rsidRPr="00066769" w:rsidRDefault="00066769" w:rsidP="005B669C">
      <w:pPr>
        <w:pStyle w:val="ListParagraph"/>
        <w:rPr>
          <w:rFonts w:cs="Arial"/>
        </w:rPr>
      </w:pPr>
    </w:p>
    <w:p w:rsidR="009F37B1" w:rsidRDefault="00D92EE6" w:rsidP="00DC6F63">
      <w:pPr>
        <w:pStyle w:val="ListParagraph"/>
        <w:numPr>
          <w:ilvl w:val="0"/>
          <w:numId w:val="10"/>
        </w:numPr>
        <w:rPr>
          <w:rFonts w:cs="Arial"/>
        </w:rPr>
      </w:pPr>
      <w:r>
        <w:rPr>
          <w:rFonts w:cs="Arial"/>
        </w:rPr>
        <w:t>I</w:t>
      </w:r>
      <w:r w:rsidR="00066769" w:rsidRPr="00DC6C04">
        <w:rPr>
          <w:rFonts w:cs="Arial"/>
        </w:rPr>
        <w:t xml:space="preserve">n terms of the </w:t>
      </w:r>
      <w:r>
        <w:rPr>
          <w:rFonts w:cs="Arial"/>
        </w:rPr>
        <w:t xml:space="preserve">limited </w:t>
      </w:r>
      <w:r w:rsidR="00066769" w:rsidRPr="00DC6C04">
        <w:rPr>
          <w:rFonts w:cs="Arial"/>
        </w:rPr>
        <w:t xml:space="preserve">nature of the changes introduced </w:t>
      </w:r>
      <w:r>
        <w:rPr>
          <w:rFonts w:cs="Arial"/>
        </w:rPr>
        <w:t xml:space="preserve">using this technique, </w:t>
      </w:r>
      <w:r w:rsidR="00066769" w:rsidRPr="00DC6C04">
        <w:rPr>
          <w:rFonts w:cs="Arial"/>
        </w:rPr>
        <w:t>the likelihood of unintended effects</w:t>
      </w:r>
      <w:r>
        <w:rPr>
          <w:rFonts w:cs="Arial"/>
        </w:rPr>
        <w:t xml:space="preserve"> in the target plant </w:t>
      </w:r>
      <w:r w:rsidR="00AB234B">
        <w:rPr>
          <w:rFonts w:cs="Arial"/>
        </w:rPr>
        <w:t xml:space="preserve">is </w:t>
      </w:r>
      <w:r>
        <w:rPr>
          <w:rFonts w:cs="Arial"/>
        </w:rPr>
        <w:t>considered negligible</w:t>
      </w:r>
      <w:r w:rsidR="00066769" w:rsidRPr="00DC6C04">
        <w:rPr>
          <w:rFonts w:cs="Arial"/>
        </w:rPr>
        <w:t>.</w:t>
      </w:r>
      <w:r>
        <w:rPr>
          <w:rFonts w:cs="Arial"/>
        </w:rPr>
        <w:t xml:space="preserve"> T</w:t>
      </w:r>
      <w:r w:rsidRPr="003B32ED">
        <w:rPr>
          <w:rFonts w:cs="Arial"/>
        </w:rPr>
        <w:t>he technique is very specific compared to other forms of mutagenesis involving chemical treatment or irradiation. The structure of the oligonucleotide</w:t>
      </w:r>
      <w:r>
        <w:rPr>
          <w:rFonts w:cs="Arial"/>
        </w:rPr>
        <w:t>s used</w:t>
      </w:r>
      <w:r w:rsidRPr="003B32ED">
        <w:rPr>
          <w:rFonts w:cs="Arial"/>
        </w:rPr>
        <w:t xml:space="preserve"> </w:t>
      </w:r>
      <w:r>
        <w:rPr>
          <w:rFonts w:cs="Arial"/>
        </w:rPr>
        <w:t xml:space="preserve">(eg double hairpin) </w:t>
      </w:r>
      <w:r w:rsidRPr="003B32ED">
        <w:rPr>
          <w:rFonts w:cs="Arial"/>
        </w:rPr>
        <w:t xml:space="preserve">is such that </w:t>
      </w:r>
      <w:r>
        <w:rPr>
          <w:rFonts w:cs="Arial"/>
        </w:rPr>
        <w:t>they are</w:t>
      </w:r>
      <w:r w:rsidRPr="003B32ED">
        <w:rPr>
          <w:rFonts w:cs="Arial"/>
        </w:rPr>
        <w:t xml:space="preserve"> not good substrate</w:t>
      </w:r>
      <w:r>
        <w:rPr>
          <w:rFonts w:cs="Arial"/>
        </w:rPr>
        <w:t>s</w:t>
      </w:r>
      <w:r w:rsidRPr="003B32ED">
        <w:rPr>
          <w:rFonts w:cs="Arial"/>
        </w:rPr>
        <w:t xml:space="preserve"> for non-homologous end </w:t>
      </w:r>
      <w:r>
        <w:rPr>
          <w:rFonts w:cs="Arial"/>
        </w:rPr>
        <w:t xml:space="preserve">joining; therefore they are </w:t>
      </w:r>
      <w:r w:rsidRPr="003B32ED">
        <w:rPr>
          <w:rFonts w:cs="Arial"/>
        </w:rPr>
        <w:t>unlikely to become randomly integrated into other sites in the genome. In addition, the techniques for screening for other insertion sites have been evolving therefore should this occur it could be readily screened for. If the oligonucleotide were to introduce off-target mutations, it’s unlikely these would be distinguishable from the background variation that occurs within genomes. Furthermore, in comparison to other mutagenic techniques, such off-target changes would be minimal.</w:t>
      </w:r>
    </w:p>
    <w:p w:rsidR="009F37B1" w:rsidRPr="009F37B1" w:rsidRDefault="009F37B1" w:rsidP="005B669C">
      <w:pPr>
        <w:pStyle w:val="ListParagraph"/>
        <w:rPr>
          <w:rFonts w:cs="Arial"/>
        </w:rPr>
      </w:pPr>
    </w:p>
    <w:p w:rsidR="001B338C" w:rsidRPr="00DC6C04" w:rsidRDefault="00066769" w:rsidP="00DC6F63">
      <w:pPr>
        <w:pStyle w:val="ListParagraph"/>
        <w:numPr>
          <w:ilvl w:val="0"/>
          <w:numId w:val="10"/>
        </w:numPr>
        <w:rPr>
          <w:rFonts w:cs="Arial"/>
        </w:rPr>
      </w:pPr>
      <w:r w:rsidRPr="00DC6C04">
        <w:rPr>
          <w:rFonts w:cs="Arial"/>
        </w:rPr>
        <w:t xml:space="preserve">In </w:t>
      </w:r>
      <w:r w:rsidR="00EB46D2">
        <w:rPr>
          <w:rFonts w:cs="Arial"/>
        </w:rPr>
        <w:t>theory</w:t>
      </w:r>
      <w:r w:rsidR="001B338C" w:rsidRPr="00DC6C04">
        <w:rPr>
          <w:rFonts w:cs="Arial"/>
        </w:rPr>
        <w:t xml:space="preserve"> the technique could be used to introduce more extensive changes, eg by accumulation.</w:t>
      </w:r>
      <w:r w:rsidR="00DC6C04" w:rsidRPr="00DC6C04">
        <w:rPr>
          <w:rFonts w:cs="Arial"/>
        </w:rPr>
        <w:t xml:space="preserve"> </w:t>
      </w:r>
      <w:r w:rsidR="0053452C" w:rsidRPr="0053452C">
        <w:rPr>
          <w:rFonts w:cs="Arial"/>
        </w:rPr>
        <w:t xml:space="preserve">While it may be technically </w:t>
      </w:r>
      <w:r w:rsidR="00EB46D2">
        <w:rPr>
          <w:rFonts w:cs="Arial"/>
        </w:rPr>
        <w:t>possible</w:t>
      </w:r>
      <w:r w:rsidR="00EB46D2" w:rsidRPr="0053452C">
        <w:rPr>
          <w:rFonts w:cs="Arial"/>
        </w:rPr>
        <w:t xml:space="preserve"> </w:t>
      </w:r>
      <w:r w:rsidR="0053452C" w:rsidRPr="0053452C">
        <w:rPr>
          <w:rFonts w:cs="Arial"/>
        </w:rPr>
        <w:t xml:space="preserve">to use </w:t>
      </w:r>
      <w:r w:rsidR="00EB46D2">
        <w:rPr>
          <w:rFonts w:cs="Arial"/>
        </w:rPr>
        <w:t>ODM</w:t>
      </w:r>
      <w:r w:rsidR="0053452C" w:rsidRPr="0053452C">
        <w:rPr>
          <w:rFonts w:cs="Arial"/>
        </w:rPr>
        <w:t xml:space="preserve"> to introduce large</w:t>
      </w:r>
      <w:r w:rsidR="00EB46D2">
        <w:rPr>
          <w:rFonts w:cs="Arial"/>
        </w:rPr>
        <w:t>r</w:t>
      </w:r>
      <w:r w:rsidR="0053452C" w:rsidRPr="0053452C">
        <w:rPr>
          <w:rFonts w:cs="Arial"/>
        </w:rPr>
        <w:t xml:space="preserve"> changes, </w:t>
      </w:r>
      <w:r w:rsidR="003817DA">
        <w:rPr>
          <w:rFonts w:cs="Arial"/>
        </w:rPr>
        <w:t>there are other techniques available which would be more efficient</w:t>
      </w:r>
      <w:r w:rsidR="0053452C" w:rsidRPr="0053452C">
        <w:rPr>
          <w:rFonts w:cs="Arial"/>
        </w:rPr>
        <w:t xml:space="preserve">. Furthermore, techniques such as chemical mutagenesis and irradiation could also be used to generate </w:t>
      </w:r>
      <w:r w:rsidR="00696811">
        <w:rPr>
          <w:rFonts w:cs="Arial"/>
        </w:rPr>
        <w:t>more extensive</w:t>
      </w:r>
      <w:r w:rsidR="00696811" w:rsidRPr="0053452C">
        <w:rPr>
          <w:rFonts w:cs="Arial"/>
        </w:rPr>
        <w:t xml:space="preserve"> </w:t>
      </w:r>
      <w:r w:rsidR="0053452C" w:rsidRPr="0053452C">
        <w:rPr>
          <w:rFonts w:cs="Arial"/>
        </w:rPr>
        <w:t>changes by accumulation</w:t>
      </w:r>
      <w:r w:rsidR="00696811">
        <w:rPr>
          <w:rFonts w:cs="Arial"/>
        </w:rPr>
        <w:t>. I</w:t>
      </w:r>
      <w:r w:rsidR="0053452C" w:rsidRPr="0053452C">
        <w:rPr>
          <w:rFonts w:cs="Arial"/>
        </w:rPr>
        <w:t xml:space="preserve">t </w:t>
      </w:r>
      <w:r w:rsidR="00696811">
        <w:rPr>
          <w:rFonts w:cs="Arial"/>
        </w:rPr>
        <w:t>is</w:t>
      </w:r>
      <w:r w:rsidR="00696811" w:rsidRPr="0053452C">
        <w:rPr>
          <w:rFonts w:cs="Arial"/>
        </w:rPr>
        <w:t xml:space="preserve"> </w:t>
      </w:r>
      <w:r w:rsidR="0053452C" w:rsidRPr="0053452C">
        <w:rPr>
          <w:rFonts w:cs="Arial"/>
        </w:rPr>
        <w:t xml:space="preserve">also possible for this to happen naturally. </w:t>
      </w:r>
      <w:r w:rsidR="00696811">
        <w:rPr>
          <w:rFonts w:cs="Arial"/>
        </w:rPr>
        <w:t xml:space="preserve">On this basis </w:t>
      </w:r>
      <w:r w:rsidR="00DC6C04">
        <w:rPr>
          <w:rFonts w:cs="Arial"/>
        </w:rPr>
        <w:t xml:space="preserve">ODM </w:t>
      </w:r>
      <w:r w:rsidR="009F37B1">
        <w:rPr>
          <w:rFonts w:cs="Arial"/>
        </w:rPr>
        <w:t>is</w:t>
      </w:r>
      <w:r w:rsidR="00DC6C04">
        <w:rPr>
          <w:rFonts w:cs="Arial"/>
        </w:rPr>
        <w:t xml:space="preserve"> </w:t>
      </w:r>
      <w:r w:rsidR="00696811">
        <w:rPr>
          <w:rFonts w:cs="Arial"/>
        </w:rPr>
        <w:t xml:space="preserve">conceptually </w:t>
      </w:r>
      <w:r w:rsidR="00DC6C04">
        <w:rPr>
          <w:rFonts w:cs="Arial"/>
        </w:rPr>
        <w:t>no differen</w:t>
      </w:r>
      <w:r w:rsidR="006C6CFF">
        <w:rPr>
          <w:rFonts w:cs="Arial"/>
        </w:rPr>
        <w:t xml:space="preserve">t to </w:t>
      </w:r>
      <w:r w:rsidR="00506516">
        <w:rPr>
          <w:rFonts w:cs="Arial"/>
        </w:rPr>
        <w:t>traditional</w:t>
      </w:r>
      <w:r w:rsidR="006C6CFF">
        <w:rPr>
          <w:rFonts w:cs="Arial"/>
        </w:rPr>
        <w:t xml:space="preserve"> mutagenesis, although it was noted that insertion</w:t>
      </w:r>
      <w:r w:rsidR="006F6F6A">
        <w:rPr>
          <w:rFonts w:cs="Arial"/>
        </w:rPr>
        <w:t>s</w:t>
      </w:r>
      <w:r w:rsidR="006C6CFF">
        <w:rPr>
          <w:rFonts w:cs="Arial"/>
        </w:rPr>
        <w:t xml:space="preserve"> would be difficult to achieve </w:t>
      </w:r>
      <w:r w:rsidR="006F6F6A">
        <w:rPr>
          <w:rFonts w:cs="Arial"/>
        </w:rPr>
        <w:t xml:space="preserve">using </w:t>
      </w:r>
      <w:r w:rsidR="00506516">
        <w:rPr>
          <w:rFonts w:cs="Arial"/>
        </w:rPr>
        <w:t>the more traditional forms of mutagenesis</w:t>
      </w:r>
      <w:r w:rsidR="006C6CFF">
        <w:rPr>
          <w:rFonts w:cs="Arial"/>
        </w:rPr>
        <w:t>.</w:t>
      </w:r>
    </w:p>
    <w:p w:rsidR="00E54E52" w:rsidRDefault="003D371C" w:rsidP="005B669C">
      <w:pPr>
        <w:pStyle w:val="Heading5"/>
      </w:pPr>
      <w:r>
        <w:t>C</w:t>
      </w:r>
      <w:r w:rsidR="001F634A">
        <w:t xml:space="preserve">onclusions </w:t>
      </w:r>
    </w:p>
    <w:p w:rsidR="00582523" w:rsidRDefault="00795BCE" w:rsidP="005B669C">
      <w:r>
        <w:t>The Panel concluded the following:</w:t>
      </w:r>
    </w:p>
    <w:p w:rsidR="00582523" w:rsidRDefault="00582523" w:rsidP="005B669C">
      <w:pPr>
        <w:pStyle w:val="ListParagraph"/>
        <w:ind w:left="360"/>
        <w:rPr>
          <w:rFonts w:cs="Arial"/>
        </w:rPr>
      </w:pPr>
    </w:p>
    <w:p w:rsidR="00582523" w:rsidRDefault="00703730" w:rsidP="00DC6F63">
      <w:pPr>
        <w:pStyle w:val="ListParagraph"/>
        <w:numPr>
          <w:ilvl w:val="0"/>
          <w:numId w:val="11"/>
        </w:numPr>
        <w:rPr>
          <w:rFonts w:cs="Arial"/>
        </w:rPr>
      </w:pPr>
      <w:r>
        <w:rPr>
          <w:rFonts w:cs="Arial"/>
        </w:rPr>
        <w:t xml:space="preserve">ODM is not a recombinant-DNA technique. </w:t>
      </w:r>
      <w:r w:rsidR="00582523">
        <w:rPr>
          <w:rFonts w:cs="Arial"/>
        </w:rPr>
        <w:t xml:space="preserve">There are no </w:t>
      </w:r>
      <w:r w:rsidR="00782F80">
        <w:rPr>
          <w:rFonts w:cs="Arial"/>
        </w:rPr>
        <w:t xml:space="preserve">identified safety </w:t>
      </w:r>
      <w:r w:rsidR="00582523">
        <w:rPr>
          <w:rFonts w:cs="Arial"/>
        </w:rPr>
        <w:t xml:space="preserve">concerns associated with the use of </w:t>
      </w:r>
      <w:r w:rsidR="00782F80">
        <w:rPr>
          <w:rFonts w:cs="Arial"/>
        </w:rPr>
        <w:t>ODM</w:t>
      </w:r>
      <w:r w:rsidR="002F3B2A">
        <w:rPr>
          <w:rFonts w:cs="Arial"/>
        </w:rPr>
        <w:t xml:space="preserve">, both in terms of the nature </w:t>
      </w:r>
      <w:r w:rsidR="00782F80">
        <w:rPr>
          <w:rFonts w:cs="Arial"/>
        </w:rPr>
        <w:t xml:space="preserve">and extent </w:t>
      </w:r>
      <w:r w:rsidR="002F3B2A">
        <w:rPr>
          <w:rFonts w:cs="Arial"/>
        </w:rPr>
        <w:t xml:space="preserve">of the </w:t>
      </w:r>
      <w:r w:rsidR="00782F80">
        <w:rPr>
          <w:rFonts w:cs="Arial"/>
        </w:rPr>
        <w:t xml:space="preserve">specific </w:t>
      </w:r>
      <w:r w:rsidR="002F3B2A">
        <w:rPr>
          <w:rFonts w:cs="Arial"/>
        </w:rPr>
        <w:t>changes that it can introduce</w:t>
      </w:r>
      <w:r w:rsidR="00782F80">
        <w:rPr>
          <w:rFonts w:cs="Arial"/>
        </w:rPr>
        <w:t xml:space="preserve"> to target plants</w:t>
      </w:r>
      <w:r w:rsidR="002F3B2A">
        <w:rPr>
          <w:rFonts w:cs="Arial"/>
        </w:rPr>
        <w:t xml:space="preserve"> </w:t>
      </w:r>
      <w:r w:rsidR="00D31A34">
        <w:rPr>
          <w:rFonts w:cs="Arial"/>
        </w:rPr>
        <w:t xml:space="preserve">as well as </w:t>
      </w:r>
      <w:r w:rsidR="002F3B2A">
        <w:rPr>
          <w:rFonts w:cs="Arial"/>
        </w:rPr>
        <w:t>potential unintended effects</w:t>
      </w:r>
      <w:r w:rsidR="00582523">
        <w:rPr>
          <w:rFonts w:cs="Arial"/>
        </w:rPr>
        <w:t>.</w:t>
      </w:r>
    </w:p>
    <w:p w:rsidR="00782F80" w:rsidRPr="00782F80" w:rsidRDefault="00782F80" w:rsidP="00782F80">
      <w:pPr>
        <w:pStyle w:val="ListParagraph"/>
        <w:rPr>
          <w:rFonts w:cs="Arial"/>
        </w:rPr>
      </w:pPr>
    </w:p>
    <w:p w:rsidR="00795BCE" w:rsidRPr="00071F7F" w:rsidRDefault="00782F80" w:rsidP="005B669C">
      <w:pPr>
        <w:pStyle w:val="ListParagraph"/>
        <w:numPr>
          <w:ilvl w:val="0"/>
          <w:numId w:val="11"/>
        </w:numPr>
        <w:rPr>
          <w:rFonts w:cs="Arial"/>
        </w:rPr>
      </w:pPr>
      <w:r w:rsidRPr="00071F7F">
        <w:rPr>
          <w:rFonts w:cs="Arial"/>
        </w:rPr>
        <w:t xml:space="preserve">Food </w:t>
      </w:r>
      <w:r w:rsidR="00703730" w:rsidRPr="00071F7F">
        <w:rPr>
          <w:rFonts w:cs="Arial"/>
        </w:rPr>
        <w:t>derived</w:t>
      </w:r>
      <w:r w:rsidRPr="00071F7F">
        <w:rPr>
          <w:rFonts w:cs="Arial"/>
        </w:rPr>
        <w:t xml:space="preserve"> from plants modified using ODM would be similar to </w:t>
      </w:r>
      <w:r w:rsidR="008357BB">
        <w:rPr>
          <w:rFonts w:cs="Arial"/>
        </w:rPr>
        <w:t>that</w:t>
      </w:r>
      <w:r w:rsidRPr="00071F7F">
        <w:rPr>
          <w:rFonts w:cs="Arial"/>
        </w:rPr>
        <w:t xml:space="preserve"> derived using </w:t>
      </w:r>
      <w:r w:rsidR="00BB553C" w:rsidRPr="00071F7F">
        <w:rPr>
          <w:rFonts w:cs="Arial"/>
        </w:rPr>
        <w:t>traditional</w:t>
      </w:r>
      <w:r w:rsidRPr="00071F7F">
        <w:rPr>
          <w:rFonts w:cs="Arial"/>
        </w:rPr>
        <w:t xml:space="preserve"> </w:t>
      </w:r>
      <w:r w:rsidR="00EA0D1D" w:rsidRPr="00071F7F">
        <w:rPr>
          <w:rFonts w:cs="Arial"/>
        </w:rPr>
        <w:t>mutagenic techniques</w:t>
      </w:r>
      <w:r w:rsidR="00E6460B">
        <w:rPr>
          <w:rFonts w:cs="Arial"/>
        </w:rPr>
        <w:t>, or that occur naturally through spontaneous mutation</w:t>
      </w:r>
      <w:r w:rsidR="00687102" w:rsidRPr="00071F7F">
        <w:rPr>
          <w:rFonts w:cs="Arial"/>
        </w:rPr>
        <w:t>.</w:t>
      </w:r>
    </w:p>
    <w:p w:rsidR="00071F7F" w:rsidRDefault="00071F7F">
      <w:pPr>
        <w:spacing w:after="200" w:line="276" w:lineRule="auto"/>
        <w:rPr>
          <w:rFonts w:eastAsiaTheme="majorEastAsia" w:cstheme="majorBidi"/>
          <w:b/>
          <w:bCs/>
          <w:sz w:val="24"/>
          <w:szCs w:val="24"/>
          <w:lang w:eastAsia="en-AU"/>
        </w:rPr>
      </w:pPr>
      <w:bookmarkStart w:id="9" w:name="_Toc350235771"/>
      <w:r>
        <w:br w:type="page"/>
      </w:r>
    </w:p>
    <w:p w:rsidR="00760DD0" w:rsidRDefault="00984BE1" w:rsidP="00984BE1">
      <w:pPr>
        <w:pStyle w:val="Heading3"/>
      </w:pPr>
      <w:r>
        <w:t>Zinc Finger Nuclease T</w:t>
      </w:r>
      <w:r w:rsidR="00E54E52">
        <w:t>echnology</w:t>
      </w:r>
      <w:bookmarkEnd w:id="9"/>
    </w:p>
    <w:p w:rsidR="00E54E52" w:rsidRDefault="00A70D52" w:rsidP="005B669C">
      <w:pPr>
        <w:pStyle w:val="Heading5"/>
      </w:pPr>
      <w:r>
        <w:t xml:space="preserve">Overview </w:t>
      </w:r>
      <w:r w:rsidR="00E54E52">
        <w:t xml:space="preserve">of </w:t>
      </w:r>
      <w:r>
        <w:t>the technique</w:t>
      </w:r>
    </w:p>
    <w:p w:rsidR="003D2591" w:rsidRDefault="00074E39" w:rsidP="005B669C">
      <w:r>
        <w:t>Z</w:t>
      </w:r>
      <w:r w:rsidR="00855717">
        <w:t>inc finger nuclease (ZFN) technology</w:t>
      </w:r>
      <w:r>
        <w:t>, like ODM,</w:t>
      </w:r>
      <w:r w:rsidR="00855717">
        <w:t xml:space="preserve"> can be </w:t>
      </w:r>
      <w:r w:rsidR="003D2591">
        <w:t>used fo</w:t>
      </w:r>
      <w:r w:rsidR="00855717">
        <w:t>r targeted genome modification in both plants and animals</w:t>
      </w:r>
      <w:r w:rsidR="003D2591">
        <w:t xml:space="preserve">. It relies on a customised </w:t>
      </w:r>
      <w:r w:rsidR="00855717">
        <w:t xml:space="preserve">ZFN </w:t>
      </w:r>
      <w:r w:rsidR="003D2591">
        <w:t>to introduce a double-stranded break (DSB) at a specific genomic location</w:t>
      </w:r>
      <w:r w:rsidR="002D3697">
        <w:t>.</w:t>
      </w:r>
      <w:r w:rsidR="003D2591">
        <w:t xml:space="preserve"> </w:t>
      </w:r>
      <w:r w:rsidR="002D3697">
        <w:t>S</w:t>
      </w:r>
      <w:r w:rsidR="003D2591">
        <w:t>ubsequent repair of this break leads to the introduction of mutations at the break site.</w:t>
      </w:r>
    </w:p>
    <w:p w:rsidR="003D2591" w:rsidRDefault="003D2591" w:rsidP="005B669C"/>
    <w:p w:rsidR="003D2591" w:rsidRDefault="00022A50" w:rsidP="005B669C">
      <w:r>
        <w:t>O</w:t>
      </w:r>
      <w:r w:rsidR="003D2591">
        <w:t>ther engineered nuclease systems also exist</w:t>
      </w:r>
      <w:r w:rsidR="00855717">
        <w:t xml:space="preserve"> </w:t>
      </w:r>
      <w:r w:rsidR="003D2591">
        <w:t>– meganucleases and transcription activator-like effects nucleases (TALENS)</w:t>
      </w:r>
      <w:r>
        <w:t>. C</w:t>
      </w:r>
      <w:r w:rsidR="00855717">
        <w:t>onclusions in relation to ZFN technology will probably also be applicable to these systems.</w:t>
      </w:r>
    </w:p>
    <w:p w:rsidR="003D2591" w:rsidRDefault="003D2591" w:rsidP="005B669C"/>
    <w:p w:rsidR="003D2591" w:rsidRDefault="003D2591" w:rsidP="005B669C">
      <w:r>
        <w:t>In terms of design, ZFNs are composed of two separate monomer</w:t>
      </w:r>
      <w:r w:rsidR="00813094">
        <w:t>ic protein</w:t>
      </w:r>
      <w:r>
        <w:t>s, each of which consists of a non-specific endonuclease domain (derived from</w:t>
      </w:r>
      <w:r w:rsidR="00855717">
        <w:t xml:space="preserve"> </w:t>
      </w:r>
      <w:r w:rsidRPr="00607595">
        <w:rPr>
          <w:i/>
        </w:rPr>
        <w:t>Fok1</w:t>
      </w:r>
      <w:r>
        <w:t xml:space="preserve">) linked to an engineered zinc finger DNA binding domain. The </w:t>
      </w:r>
      <w:r w:rsidRPr="00745BFE">
        <w:rPr>
          <w:i/>
        </w:rPr>
        <w:t>Fok1</w:t>
      </w:r>
      <w:r>
        <w:t xml:space="preserve"> endonuclease domain only cleaves as a dimer, a characteristic that is capitalised on to provide target specificity ie the ZFN</w:t>
      </w:r>
      <w:r w:rsidR="00B87B23">
        <w:t xml:space="preserve"> monomer</w:t>
      </w:r>
      <w:r w:rsidR="00C84F45">
        <w:t>s</w:t>
      </w:r>
      <w:r>
        <w:t xml:space="preserve"> have to dimerise </w:t>
      </w:r>
      <w:r w:rsidR="00B87B23">
        <w:t>to be able to cleave DNA</w:t>
      </w:r>
      <w:r>
        <w:t>.</w:t>
      </w:r>
      <w:r w:rsidR="001C7FE7">
        <w:t xml:space="preserve"> </w:t>
      </w:r>
    </w:p>
    <w:p w:rsidR="003D2591" w:rsidRDefault="003D2591" w:rsidP="005B669C"/>
    <w:p w:rsidR="003D2591" w:rsidRDefault="003D2591" w:rsidP="005B669C">
      <w:r>
        <w:t>The zinc finger DNA binding domain is composed of an array of Cys</w:t>
      </w:r>
      <w:r>
        <w:rPr>
          <w:vertAlign w:val="subscript"/>
        </w:rPr>
        <w:t>2</w:t>
      </w:r>
      <w:r>
        <w:t xml:space="preserve"> His</w:t>
      </w:r>
      <w:r>
        <w:rPr>
          <w:vertAlign w:val="subscript"/>
        </w:rPr>
        <w:t>2</w:t>
      </w:r>
      <w:r>
        <w:t xml:space="preserve"> zinc fingers – usually 3 – 6 per monomer</w:t>
      </w:r>
      <w:r w:rsidR="00855717">
        <w:t>. E</w:t>
      </w:r>
      <w:r>
        <w:t>ach finger recognises 3 nucleotides so that each array can be designed to bind to genomic sequences 9 – 18 nucleotides in length, depending on the number of zinc fingers. There are several different methods available to construct the different zinc finger binding domains</w:t>
      </w:r>
      <w:r w:rsidR="00855717">
        <w:t>. All of these</w:t>
      </w:r>
      <w:r>
        <w:t xml:space="preserve"> are complex and currently require a time-consuming design process.</w:t>
      </w:r>
    </w:p>
    <w:p w:rsidR="003D2591" w:rsidRDefault="003D2591" w:rsidP="005B669C"/>
    <w:p w:rsidR="003D2591" w:rsidRDefault="003D2591" w:rsidP="005B669C">
      <w:r>
        <w:t>In terms of cleavage, each monomer is designed to bind in inverse orientation to the target sequence</w:t>
      </w:r>
      <w:r w:rsidR="008B02B9">
        <w:t>. Th</w:t>
      </w:r>
      <w:r>
        <w:t xml:space="preserve">e optimal space between the two binding domains is between </w:t>
      </w:r>
      <w:r w:rsidR="008B02B9">
        <w:t>5</w:t>
      </w:r>
      <w:r>
        <w:t xml:space="preserve"> and </w:t>
      </w:r>
      <w:r w:rsidR="008B02B9">
        <w:t>7</w:t>
      </w:r>
      <w:r>
        <w:t xml:space="preserve"> nucleotides. It is this binding that brings the two endonuclease domains into close proximity and generates a functional </w:t>
      </w:r>
      <w:r w:rsidR="001C7FE7">
        <w:t>hetero</w:t>
      </w:r>
      <w:r w:rsidR="0001083A">
        <w:t xml:space="preserve">dimer </w:t>
      </w:r>
      <w:r>
        <w:t xml:space="preserve">that then cleaves the target site. </w:t>
      </w:r>
      <w:r w:rsidR="0001083A">
        <w:t>T</w:t>
      </w:r>
      <w:r>
        <w:t xml:space="preserve">his requires simultaneous expression of the </w:t>
      </w:r>
      <w:r w:rsidR="008B02B9">
        <w:t xml:space="preserve">two ZFN </w:t>
      </w:r>
      <w:r>
        <w:t>monomers</w:t>
      </w:r>
      <w:r w:rsidR="008B02B9">
        <w:t xml:space="preserve"> in the cell</w:t>
      </w:r>
      <w:r>
        <w:t>.</w:t>
      </w:r>
    </w:p>
    <w:p w:rsidR="003D2591" w:rsidRDefault="003D2591" w:rsidP="005B669C"/>
    <w:p w:rsidR="003D2591" w:rsidRDefault="003D2591" w:rsidP="005B669C">
      <w:r>
        <w:t>Once cleavage has occurred, th</w:t>
      </w:r>
      <w:r w:rsidR="0001083A">
        <w:t>e DNA</w:t>
      </w:r>
      <w:r>
        <w:t xml:space="preserve"> is repaired using one of two endogenous DNA repair pathways, either non-homologous end joining (NHEJ), or homologous recombination (HR)/homology directed repair (HDR). The two </w:t>
      </w:r>
      <w:r w:rsidR="0001083A">
        <w:t xml:space="preserve">pathways </w:t>
      </w:r>
      <w:r>
        <w:t xml:space="preserve">differ in their fidelity and template requirements, </w:t>
      </w:r>
      <w:r w:rsidR="00B40513">
        <w:t>with</w:t>
      </w:r>
      <w:r>
        <w:t xml:space="preserve"> NHEJ </w:t>
      </w:r>
      <w:r w:rsidR="00B40513">
        <w:t>being</w:t>
      </w:r>
      <w:r>
        <w:t xml:space="preserve"> the dominant repair pathway in both animal and plant</w:t>
      </w:r>
      <w:r w:rsidR="00B40513">
        <w:t xml:space="preserve"> cell</w:t>
      </w:r>
      <w:r>
        <w:t>s.</w:t>
      </w:r>
    </w:p>
    <w:p w:rsidR="00B37FD3" w:rsidRDefault="00B37FD3" w:rsidP="005B669C"/>
    <w:p w:rsidR="003D2591" w:rsidRDefault="003D2591" w:rsidP="005B669C">
      <w:r>
        <w:t xml:space="preserve">The </w:t>
      </w:r>
      <w:r w:rsidR="00B40513">
        <w:t>main characteristics of the two repair pathways are outlined in the following table</w:t>
      </w:r>
      <w:r>
        <w:t>.</w:t>
      </w:r>
    </w:p>
    <w:p w:rsidR="003D2591" w:rsidRDefault="003D2591" w:rsidP="005B669C"/>
    <w:tbl>
      <w:tblPr>
        <w:tblStyle w:val="TableGrid"/>
        <w:tblW w:w="7938" w:type="dxa"/>
        <w:jc w:val="center"/>
        <w:tblLook w:val="04A0" w:firstRow="1" w:lastRow="0" w:firstColumn="1" w:lastColumn="0" w:noHBand="0" w:noVBand="1"/>
      </w:tblPr>
      <w:tblGrid>
        <w:gridCol w:w="3994"/>
        <w:gridCol w:w="3944"/>
      </w:tblGrid>
      <w:tr w:rsidR="00B37FD3" w:rsidTr="003D5EE4">
        <w:trPr>
          <w:jc w:val="center"/>
        </w:trPr>
        <w:tc>
          <w:tcPr>
            <w:tcW w:w="4621" w:type="dxa"/>
            <w:shd w:val="clear" w:color="auto" w:fill="000000" w:themeFill="text1"/>
            <w:vAlign w:val="center"/>
          </w:tcPr>
          <w:p w:rsidR="00B37FD3" w:rsidRPr="00B37FD3" w:rsidRDefault="00B37FD3" w:rsidP="005B669C">
            <w:pPr>
              <w:spacing w:before="60" w:after="60"/>
              <w:rPr>
                <w:b/>
                <w:sz w:val="20"/>
                <w:szCs w:val="20"/>
              </w:rPr>
            </w:pPr>
            <w:r w:rsidRPr="00B37FD3">
              <w:rPr>
                <w:b/>
                <w:sz w:val="20"/>
                <w:szCs w:val="20"/>
              </w:rPr>
              <w:t>Non-homologous end joining</w:t>
            </w:r>
          </w:p>
        </w:tc>
        <w:tc>
          <w:tcPr>
            <w:tcW w:w="4621" w:type="dxa"/>
            <w:shd w:val="clear" w:color="auto" w:fill="000000" w:themeFill="text1"/>
            <w:vAlign w:val="center"/>
          </w:tcPr>
          <w:p w:rsidR="00B37FD3" w:rsidRPr="00B37FD3" w:rsidRDefault="00B37FD3" w:rsidP="005B669C">
            <w:pPr>
              <w:spacing w:before="60" w:after="60"/>
              <w:rPr>
                <w:b/>
                <w:sz w:val="20"/>
                <w:szCs w:val="20"/>
              </w:rPr>
            </w:pPr>
            <w:r w:rsidRPr="00B37FD3">
              <w:rPr>
                <w:b/>
                <w:sz w:val="20"/>
                <w:szCs w:val="20"/>
              </w:rPr>
              <w:t>Homology directed repair</w:t>
            </w:r>
          </w:p>
        </w:tc>
      </w:tr>
      <w:tr w:rsidR="00B37FD3" w:rsidTr="003D5EE4">
        <w:trPr>
          <w:jc w:val="center"/>
        </w:trPr>
        <w:tc>
          <w:tcPr>
            <w:tcW w:w="4621" w:type="dxa"/>
            <w:vAlign w:val="center"/>
          </w:tcPr>
          <w:p w:rsidR="00B37FD3" w:rsidRPr="00B37FD3" w:rsidRDefault="00B37FD3" w:rsidP="005B669C">
            <w:pPr>
              <w:spacing w:before="60" w:after="60"/>
              <w:rPr>
                <w:sz w:val="20"/>
                <w:szCs w:val="20"/>
              </w:rPr>
            </w:pPr>
            <w:r w:rsidRPr="00B37FD3">
              <w:rPr>
                <w:sz w:val="20"/>
                <w:szCs w:val="20"/>
              </w:rPr>
              <w:t>Cleaved ends are directly ligated – no sequence homology required</w:t>
            </w:r>
            <w:r w:rsidR="00AE7929">
              <w:rPr>
                <w:sz w:val="20"/>
                <w:szCs w:val="20"/>
              </w:rPr>
              <w:t xml:space="preserve">. </w:t>
            </w:r>
            <w:r w:rsidR="00AE7929" w:rsidRPr="00B37FD3">
              <w:rPr>
                <w:sz w:val="20"/>
                <w:szCs w:val="20"/>
              </w:rPr>
              <w:t>Regions of micro-homology, eg complementary overhangs, will be used if they exist</w:t>
            </w:r>
            <w:r w:rsidR="00AE7929">
              <w:rPr>
                <w:sz w:val="20"/>
                <w:szCs w:val="20"/>
              </w:rPr>
              <w:t>.</w:t>
            </w:r>
          </w:p>
        </w:tc>
        <w:tc>
          <w:tcPr>
            <w:tcW w:w="4621" w:type="dxa"/>
            <w:vAlign w:val="center"/>
          </w:tcPr>
          <w:p w:rsidR="00B37FD3" w:rsidRPr="00B37FD3" w:rsidRDefault="00B37FD3" w:rsidP="005B669C">
            <w:pPr>
              <w:spacing w:before="60" w:after="60"/>
              <w:rPr>
                <w:sz w:val="20"/>
                <w:szCs w:val="20"/>
              </w:rPr>
            </w:pPr>
            <w:r w:rsidRPr="00B37FD3">
              <w:rPr>
                <w:sz w:val="20"/>
                <w:szCs w:val="20"/>
              </w:rPr>
              <w:t>Requires a homologous sequence to guide repair</w:t>
            </w:r>
            <w:r w:rsidR="00AE7929">
              <w:rPr>
                <w:sz w:val="20"/>
                <w:szCs w:val="20"/>
              </w:rPr>
              <w:t xml:space="preserve">. </w:t>
            </w:r>
            <w:r w:rsidR="00AE7929" w:rsidRPr="00B37FD3">
              <w:rPr>
                <w:sz w:val="20"/>
                <w:szCs w:val="20"/>
              </w:rPr>
              <w:t>Homologous repair template normally provided by the sister chromatid – leads to restoration of original sequence</w:t>
            </w:r>
            <w:r w:rsidR="00AE7929">
              <w:rPr>
                <w:sz w:val="20"/>
                <w:szCs w:val="20"/>
              </w:rPr>
              <w:t xml:space="preserve">. </w:t>
            </w:r>
            <w:r w:rsidR="00AE7929" w:rsidRPr="00B37FD3">
              <w:rPr>
                <w:sz w:val="20"/>
                <w:szCs w:val="20"/>
              </w:rPr>
              <w:t>An exogenous DNA template can be provided to introduce specific changes</w:t>
            </w:r>
            <w:r w:rsidR="00AE7929">
              <w:rPr>
                <w:sz w:val="20"/>
                <w:szCs w:val="20"/>
              </w:rPr>
              <w:t>.</w:t>
            </w:r>
          </w:p>
        </w:tc>
      </w:tr>
      <w:tr w:rsidR="00B37FD3" w:rsidTr="003D5EE4">
        <w:trPr>
          <w:jc w:val="center"/>
        </w:trPr>
        <w:tc>
          <w:tcPr>
            <w:tcW w:w="4621" w:type="dxa"/>
            <w:vAlign w:val="center"/>
          </w:tcPr>
          <w:p w:rsidR="00B37FD3" w:rsidRPr="00B37FD3" w:rsidRDefault="00AE7929" w:rsidP="005B669C">
            <w:pPr>
              <w:spacing w:before="60" w:after="60"/>
              <w:rPr>
                <w:sz w:val="20"/>
                <w:szCs w:val="20"/>
              </w:rPr>
            </w:pPr>
            <w:r w:rsidRPr="00B37FD3">
              <w:rPr>
                <w:sz w:val="20"/>
                <w:szCs w:val="20"/>
              </w:rPr>
              <w:t>Overall, repair is accurate and efficient BUT is prone to the formation of sporadic unfaithful repair products</w:t>
            </w:r>
            <w:r>
              <w:rPr>
                <w:sz w:val="20"/>
                <w:szCs w:val="20"/>
              </w:rPr>
              <w:t>.</w:t>
            </w:r>
          </w:p>
        </w:tc>
        <w:tc>
          <w:tcPr>
            <w:tcW w:w="4621" w:type="dxa"/>
            <w:vAlign w:val="center"/>
          </w:tcPr>
          <w:p w:rsidR="00B37FD3" w:rsidRPr="00B37FD3" w:rsidRDefault="00AE7929" w:rsidP="005B669C">
            <w:pPr>
              <w:spacing w:before="60" w:after="60"/>
              <w:rPr>
                <w:sz w:val="20"/>
                <w:szCs w:val="20"/>
              </w:rPr>
            </w:pPr>
            <w:r>
              <w:rPr>
                <w:sz w:val="20"/>
                <w:szCs w:val="20"/>
              </w:rPr>
              <w:t>Repair is accurate, according to the template.</w:t>
            </w:r>
          </w:p>
        </w:tc>
      </w:tr>
      <w:tr w:rsidR="00B37FD3" w:rsidTr="003D5EE4">
        <w:trPr>
          <w:jc w:val="center"/>
        </w:trPr>
        <w:tc>
          <w:tcPr>
            <w:tcW w:w="9242" w:type="dxa"/>
            <w:gridSpan w:val="2"/>
            <w:vAlign w:val="center"/>
          </w:tcPr>
          <w:p w:rsidR="00B37FD3" w:rsidRPr="00B37FD3" w:rsidRDefault="00B37FD3" w:rsidP="005B669C">
            <w:pPr>
              <w:spacing w:before="60" w:after="60"/>
              <w:rPr>
                <w:sz w:val="20"/>
                <w:szCs w:val="20"/>
              </w:rPr>
            </w:pPr>
            <w:r w:rsidRPr="00B37FD3">
              <w:rPr>
                <w:sz w:val="20"/>
                <w:szCs w:val="20"/>
              </w:rPr>
              <w:t>The frequency of NHEJ-mediated repair of DSBs is generally much higher than HDR-mediated DSB repair</w:t>
            </w:r>
            <w:r w:rsidR="00AE7929">
              <w:rPr>
                <w:sz w:val="20"/>
                <w:szCs w:val="20"/>
              </w:rPr>
              <w:t>.</w:t>
            </w:r>
          </w:p>
          <w:p w:rsidR="00B37FD3" w:rsidRPr="00B37FD3" w:rsidRDefault="00C84F45" w:rsidP="00343A7B">
            <w:pPr>
              <w:spacing w:before="60" w:after="60"/>
              <w:rPr>
                <w:sz w:val="20"/>
                <w:szCs w:val="20"/>
              </w:rPr>
            </w:pPr>
            <w:r>
              <w:rPr>
                <w:sz w:val="20"/>
                <w:szCs w:val="20"/>
              </w:rPr>
              <w:t>F</w:t>
            </w:r>
            <w:r w:rsidR="00B37FD3" w:rsidRPr="00B37FD3">
              <w:rPr>
                <w:sz w:val="20"/>
                <w:szCs w:val="20"/>
              </w:rPr>
              <w:t>aithful repair of the ZFN-induced DSB will restore the ZFN target site</w:t>
            </w:r>
            <w:r w:rsidR="00343A7B">
              <w:rPr>
                <w:sz w:val="20"/>
                <w:szCs w:val="20"/>
              </w:rPr>
              <w:t xml:space="preserve"> which means multiple rounds of cleavage and repair can occur in a cell</w:t>
            </w:r>
            <w:r w:rsidR="00AE7929">
              <w:rPr>
                <w:sz w:val="20"/>
                <w:szCs w:val="20"/>
              </w:rPr>
              <w:t>.</w:t>
            </w:r>
          </w:p>
        </w:tc>
      </w:tr>
    </w:tbl>
    <w:p w:rsidR="00B37FD3" w:rsidRDefault="00B37FD3" w:rsidP="005B669C"/>
    <w:p w:rsidR="003D2591" w:rsidRDefault="00AE7929" w:rsidP="005B669C">
      <w:r>
        <w:t>The technique can be used to generate a number of different types of mutations, as follows:</w:t>
      </w:r>
    </w:p>
    <w:p w:rsidR="00AE7929" w:rsidRDefault="00AE7929" w:rsidP="005B669C"/>
    <w:p w:rsidR="00717781" w:rsidRDefault="00717781" w:rsidP="00DC6F63">
      <w:pPr>
        <w:pStyle w:val="ListParagraph"/>
        <w:numPr>
          <w:ilvl w:val="0"/>
          <w:numId w:val="9"/>
        </w:numPr>
      </w:pPr>
      <w:r>
        <w:t>ZFN-1</w:t>
      </w:r>
      <w:r w:rsidR="003563C3">
        <w:t xml:space="preserve"> – where NHEJ is used to introduce </w:t>
      </w:r>
      <w:r w:rsidR="00343A7B">
        <w:t xml:space="preserve">site-directed </w:t>
      </w:r>
      <w:r w:rsidR="003563C3">
        <w:t>random mutations (substitutions, deletions and insertions) involving one or a few base pairs;</w:t>
      </w:r>
    </w:p>
    <w:p w:rsidR="00717781" w:rsidRDefault="00717781" w:rsidP="005B669C">
      <w:pPr>
        <w:ind w:left="360"/>
      </w:pPr>
    </w:p>
    <w:p w:rsidR="00574720" w:rsidRDefault="00717781" w:rsidP="00DC6F63">
      <w:pPr>
        <w:pStyle w:val="ListParagraph"/>
        <w:numPr>
          <w:ilvl w:val="0"/>
          <w:numId w:val="9"/>
        </w:numPr>
      </w:pPr>
      <w:r>
        <w:t>ZFN-2</w:t>
      </w:r>
      <w:r w:rsidR="003563C3">
        <w:t xml:space="preserve"> – where HDR is used to introduce </w:t>
      </w:r>
      <w:r w:rsidR="00343A7B">
        <w:t xml:space="preserve">site-directed </w:t>
      </w:r>
      <w:r w:rsidR="003563C3">
        <w:t>specific mutations (substitutions, deletions and insertions) involving one or a few base pairs;</w:t>
      </w:r>
    </w:p>
    <w:p w:rsidR="00574720" w:rsidRDefault="00574720" w:rsidP="005B669C">
      <w:pPr>
        <w:ind w:left="360"/>
      </w:pPr>
    </w:p>
    <w:p w:rsidR="00717781" w:rsidRDefault="00717781" w:rsidP="00DC6F63">
      <w:pPr>
        <w:pStyle w:val="ListParagraph"/>
        <w:numPr>
          <w:ilvl w:val="0"/>
          <w:numId w:val="9"/>
        </w:numPr>
      </w:pPr>
      <w:r>
        <w:t>ZFN-3</w:t>
      </w:r>
      <w:r w:rsidR="003563C3">
        <w:t xml:space="preserve"> – where HDR is used for targeted gene addition or replacement. ZFN-3 is essentially a site-specific transgenesis.</w:t>
      </w:r>
    </w:p>
    <w:p w:rsidR="00574720" w:rsidRDefault="00574720" w:rsidP="005B669C"/>
    <w:p w:rsidR="003563C3" w:rsidRDefault="00343A7B" w:rsidP="005B669C">
      <w:r>
        <w:t xml:space="preserve">If more than one DSB is introduced into the genome, </w:t>
      </w:r>
      <w:r w:rsidR="003D2591">
        <w:t xml:space="preserve">NHEJ </w:t>
      </w:r>
      <w:r w:rsidR="003563C3">
        <w:t>can also be used to make more extensive mutations such as translocations or major deletions</w:t>
      </w:r>
      <w:r w:rsidR="00855A55">
        <w:t>.</w:t>
      </w:r>
    </w:p>
    <w:p w:rsidR="003D2591" w:rsidRDefault="003D2591" w:rsidP="005B669C"/>
    <w:p w:rsidR="003D2591" w:rsidRDefault="003D2591" w:rsidP="005B669C">
      <w:r>
        <w:t xml:space="preserve">In plants the most common method of delivery of ZFN </w:t>
      </w:r>
      <w:r w:rsidR="001C7FE7">
        <w:t xml:space="preserve">being used currently </w:t>
      </w:r>
      <w:r>
        <w:t xml:space="preserve">is stable transformation with a ZFN construct. </w:t>
      </w:r>
      <w:r w:rsidR="003563C3">
        <w:t xml:space="preserve">Transient expression of the ZFN (via a plasmid, viral vector or directly injected mRNA) </w:t>
      </w:r>
      <w:r w:rsidR="001C7FE7">
        <w:t xml:space="preserve">may also be used and </w:t>
      </w:r>
      <w:r w:rsidR="003563C3">
        <w:t xml:space="preserve">is particularly favoured </w:t>
      </w:r>
      <w:r>
        <w:t>in animal systems</w:t>
      </w:r>
      <w:r w:rsidR="003563C3">
        <w:t xml:space="preserve">. </w:t>
      </w:r>
      <w:r>
        <w:t>In plants</w:t>
      </w:r>
      <w:r w:rsidR="001C7FE7">
        <w:t>,</w:t>
      </w:r>
      <w:r>
        <w:t xml:space="preserve"> expression via </w:t>
      </w:r>
      <w:r w:rsidR="001C7FE7">
        <w:t xml:space="preserve">extra-chromosomal </w:t>
      </w:r>
      <w:r>
        <w:t>plasmid DNA has been used</w:t>
      </w:r>
      <w:r w:rsidR="00882FA1">
        <w:t xml:space="preserve"> and transient expression from plant virus vectors is also being investigated</w:t>
      </w:r>
      <w:r>
        <w:t xml:space="preserve">. More recent </w:t>
      </w:r>
      <w:r w:rsidR="00882FA1">
        <w:t>research</w:t>
      </w:r>
      <w:r>
        <w:t xml:space="preserve"> has </w:t>
      </w:r>
      <w:r w:rsidR="00882FA1">
        <w:t>investigated</w:t>
      </w:r>
      <w:r>
        <w:t xml:space="preserve"> direct delivery of </w:t>
      </w:r>
      <w:r w:rsidR="00882FA1">
        <w:t xml:space="preserve">the </w:t>
      </w:r>
      <w:r>
        <w:t>ZFN</w:t>
      </w:r>
      <w:r w:rsidR="00882FA1">
        <w:t xml:space="preserve"> protein</w:t>
      </w:r>
      <w:r>
        <w:t>. In the case of HDR, the template also has to be co-delivered with the ZFN</w:t>
      </w:r>
      <w:r w:rsidR="00882FA1">
        <w:t>, whatever the delivery method that is used for the ZFN</w:t>
      </w:r>
      <w:r>
        <w:t>.</w:t>
      </w:r>
    </w:p>
    <w:p w:rsidR="003D2591" w:rsidRDefault="003D2591" w:rsidP="005B669C"/>
    <w:p w:rsidR="003D2591" w:rsidRDefault="003D2591" w:rsidP="001C7FE7">
      <w:r>
        <w:t xml:space="preserve">Unintended effects </w:t>
      </w:r>
      <w:r w:rsidR="0013279E">
        <w:t xml:space="preserve">primarily arise from off-target or non-specific cleavage. Non-specific cleavage can arise from not having enough zinc finger binding domains, homodimer formation of </w:t>
      </w:r>
      <w:r w:rsidR="001C7FE7">
        <w:t xml:space="preserve">identical </w:t>
      </w:r>
      <w:r w:rsidR="0013279E">
        <w:t xml:space="preserve">ZFN monomers, </w:t>
      </w:r>
      <w:r w:rsidR="001C7FE7">
        <w:t xml:space="preserve">or </w:t>
      </w:r>
      <w:r w:rsidR="000863D0">
        <w:t xml:space="preserve">sustained expression of the ZFN in the cell. Non-specific cleavage </w:t>
      </w:r>
      <w:r w:rsidR="0013279E">
        <w:t xml:space="preserve">may lead to cytotoxicity although in many cases the effects will remain silent. Various strategies have been devised for minimising </w:t>
      </w:r>
      <w:r w:rsidR="000863D0">
        <w:t>non-specific cleavage</w:t>
      </w:r>
      <w:r w:rsidR="001C7FE7">
        <w:t xml:space="preserve">. Increasing the number of zinc finger arrays has been shown to improve specificity, with the use of 4-finger arrays now being more common than 3-finger arrays. </w:t>
      </w:r>
      <w:r w:rsidR="001C7FE7" w:rsidRPr="001C7FE7">
        <w:rPr>
          <w:i/>
        </w:rPr>
        <w:t>FokI</w:t>
      </w:r>
      <w:r w:rsidR="001C7FE7">
        <w:t xml:space="preserve"> nuclease variants have also been produced that will only cleave as a heterodimer, not a homodimer. The use of inducible, rather than constitutive promoters to stably express the ZFN has also improved the specificity. </w:t>
      </w:r>
    </w:p>
    <w:p w:rsidR="00E54E52" w:rsidRDefault="00E54E52" w:rsidP="005B669C">
      <w:pPr>
        <w:pStyle w:val="Heading5"/>
      </w:pPr>
      <w:r>
        <w:t>Panel discussion</w:t>
      </w:r>
    </w:p>
    <w:p w:rsidR="00E54E52" w:rsidRDefault="00CF2F78" w:rsidP="005B669C">
      <w:pPr>
        <w:rPr>
          <w:rFonts w:cs="Arial"/>
        </w:rPr>
      </w:pPr>
      <w:r>
        <w:rPr>
          <w:rFonts w:cs="Arial"/>
        </w:rPr>
        <w:t>The main points from the panel discussion are summarised below.</w:t>
      </w:r>
    </w:p>
    <w:p w:rsidR="00CF2F78" w:rsidRDefault="00CF2F78" w:rsidP="005B669C">
      <w:pPr>
        <w:rPr>
          <w:rFonts w:cs="Arial"/>
        </w:rPr>
      </w:pPr>
    </w:p>
    <w:p w:rsidR="00C0357D" w:rsidRPr="00E10A3A" w:rsidRDefault="00F570AE" w:rsidP="00DC6F63">
      <w:pPr>
        <w:pStyle w:val="ListParagraph"/>
        <w:numPr>
          <w:ilvl w:val="0"/>
          <w:numId w:val="12"/>
        </w:numPr>
        <w:rPr>
          <w:rFonts w:cs="Arial"/>
        </w:rPr>
      </w:pPr>
      <w:r>
        <w:rPr>
          <w:rFonts w:cs="Arial"/>
        </w:rPr>
        <w:t xml:space="preserve">The </w:t>
      </w:r>
      <w:r w:rsidR="003068E7">
        <w:rPr>
          <w:rFonts w:cs="Arial"/>
        </w:rPr>
        <w:t xml:space="preserve">similarities and differences between ODM and ZFN technology were discussed, noting that unlike ODM, ZFN technology involves </w:t>
      </w:r>
      <w:r w:rsidR="005A5F91">
        <w:rPr>
          <w:rFonts w:cs="Arial"/>
        </w:rPr>
        <w:t xml:space="preserve">site-specific cleavage of </w:t>
      </w:r>
      <w:r w:rsidR="003068E7">
        <w:rPr>
          <w:rFonts w:cs="Arial"/>
        </w:rPr>
        <w:t>the DNA</w:t>
      </w:r>
      <w:r w:rsidR="0005707E">
        <w:rPr>
          <w:rFonts w:cs="Arial"/>
        </w:rPr>
        <w:t xml:space="preserve"> and</w:t>
      </w:r>
      <w:r w:rsidR="0096427B">
        <w:rPr>
          <w:rFonts w:cs="Arial"/>
        </w:rPr>
        <w:t xml:space="preserve"> the use of </w:t>
      </w:r>
      <w:r w:rsidR="00292630">
        <w:rPr>
          <w:rFonts w:cs="Arial"/>
        </w:rPr>
        <w:t xml:space="preserve">a </w:t>
      </w:r>
      <w:r w:rsidR="0096427B">
        <w:rPr>
          <w:rFonts w:cs="Arial"/>
        </w:rPr>
        <w:t xml:space="preserve">recombinant-DNA </w:t>
      </w:r>
      <w:r w:rsidR="00292630">
        <w:rPr>
          <w:rFonts w:cs="Arial"/>
        </w:rPr>
        <w:t xml:space="preserve">construct to produce the </w:t>
      </w:r>
      <w:r w:rsidR="0096427B">
        <w:rPr>
          <w:rFonts w:cs="Arial"/>
        </w:rPr>
        <w:t>ZFN</w:t>
      </w:r>
      <w:r w:rsidR="0005707E">
        <w:rPr>
          <w:rFonts w:cs="Arial"/>
        </w:rPr>
        <w:t>.</w:t>
      </w:r>
      <w:r w:rsidR="003068E7">
        <w:rPr>
          <w:rFonts w:cs="Arial"/>
        </w:rPr>
        <w:t xml:space="preserve"> </w:t>
      </w:r>
      <w:r w:rsidR="00292630">
        <w:rPr>
          <w:rFonts w:cs="Arial"/>
        </w:rPr>
        <w:t>Mechanistically, ZFN-2 is most like ODM in that both rely on an exogenous template to direct the changes that are introduced into the target site.</w:t>
      </w:r>
      <w:r w:rsidR="00D16DA4">
        <w:rPr>
          <w:rFonts w:cs="Arial"/>
        </w:rPr>
        <w:t xml:space="preserve"> In terms of the nature of the changes that can be introduced, the panel agreed that ODM, ZFN-1 and ZFN-2 are all similar, although it was recognised that there is more specificity associated with ZFN-2 (and ODM).</w:t>
      </w:r>
      <w:r w:rsidR="00C0357D">
        <w:rPr>
          <w:rFonts w:cs="Arial"/>
        </w:rPr>
        <w:t xml:space="preserve"> ZFN-3 is distinct from the other forms of ZFN technology because it results in the introduction of a new gene and is therefore equivalent to traditional transgenesis, except </w:t>
      </w:r>
      <w:r w:rsidR="00506516">
        <w:rPr>
          <w:rFonts w:cs="Arial"/>
        </w:rPr>
        <w:t>the</w:t>
      </w:r>
      <w:r w:rsidR="00C0357D">
        <w:rPr>
          <w:rFonts w:cs="Arial"/>
        </w:rPr>
        <w:t xml:space="preserve"> integration is </w:t>
      </w:r>
      <w:r w:rsidR="00C90256">
        <w:rPr>
          <w:rFonts w:cs="Arial"/>
        </w:rPr>
        <w:t>site-specific</w:t>
      </w:r>
      <w:r w:rsidR="00C0357D">
        <w:rPr>
          <w:rFonts w:cs="Arial"/>
        </w:rPr>
        <w:t>.</w:t>
      </w:r>
    </w:p>
    <w:p w:rsidR="00C0357D" w:rsidRDefault="00C0357D" w:rsidP="005B669C">
      <w:pPr>
        <w:pStyle w:val="ListParagraph"/>
        <w:ind w:left="360"/>
        <w:rPr>
          <w:rFonts w:cs="Arial"/>
        </w:rPr>
      </w:pPr>
    </w:p>
    <w:p w:rsidR="00F570AE" w:rsidRDefault="00B9487A" w:rsidP="00DC6F63">
      <w:pPr>
        <w:pStyle w:val="ListParagraph"/>
        <w:numPr>
          <w:ilvl w:val="0"/>
          <w:numId w:val="12"/>
        </w:numPr>
        <w:rPr>
          <w:rFonts w:cs="Arial"/>
        </w:rPr>
      </w:pPr>
      <w:r>
        <w:rPr>
          <w:rFonts w:cs="Arial"/>
        </w:rPr>
        <w:t xml:space="preserve">Technically ZFN-1 and ZFN-2 are the same, except that ZFN-2 is more specific in terms of the changes that are made. </w:t>
      </w:r>
      <w:r w:rsidR="006B30C1">
        <w:rPr>
          <w:rFonts w:cs="Arial"/>
        </w:rPr>
        <w:t>As</w:t>
      </w:r>
      <w:r>
        <w:rPr>
          <w:rFonts w:cs="Arial"/>
        </w:rPr>
        <w:t xml:space="preserve"> with ODM, ZFN-1 and ZFN-2 do not present a significantly greater </w:t>
      </w:r>
      <w:r w:rsidR="00506516">
        <w:rPr>
          <w:rFonts w:cs="Arial"/>
        </w:rPr>
        <w:t>concern</w:t>
      </w:r>
      <w:r>
        <w:rPr>
          <w:rFonts w:cs="Arial"/>
        </w:rPr>
        <w:t xml:space="preserve"> than traditional forms of random mutagenesis – the changes </w:t>
      </w:r>
      <w:r w:rsidR="00557EB2">
        <w:rPr>
          <w:rFonts w:cs="Arial"/>
        </w:rPr>
        <w:t>introduced are</w:t>
      </w:r>
      <w:r>
        <w:rPr>
          <w:rFonts w:cs="Arial"/>
        </w:rPr>
        <w:t xml:space="preserve"> </w:t>
      </w:r>
      <w:r w:rsidR="00557EB2">
        <w:rPr>
          <w:rFonts w:cs="Arial"/>
        </w:rPr>
        <w:t xml:space="preserve">small, </w:t>
      </w:r>
      <w:r w:rsidR="00241535">
        <w:rPr>
          <w:rFonts w:cs="Arial"/>
        </w:rPr>
        <w:t>definable</w:t>
      </w:r>
      <w:r w:rsidR="00557EB2">
        <w:rPr>
          <w:rFonts w:cs="Arial"/>
        </w:rPr>
        <w:t xml:space="preserve"> </w:t>
      </w:r>
      <w:r w:rsidR="0078609B">
        <w:rPr>
          <w:rFonts w:cs="Arial"/>
        </w:rPr>
        <w:t>and the outcomes predictable</w:t>
      </w:r>
      <w:r>
        <w:rPr>
          <w:rFonts w:cs="Arial"/>
        </w:rPr>
        <w:t xml:space="preserve">. </w:t>
      </w:r>
      <w:r w:rsidR="00E445E9">
        <w:rPr>
          <w:rFonts w:cs="Arial"/>
        </w:rPr>
        <w:t xml:space="preserve"> The panel discussed </w:t>
      </w:r>
      <w:r>
        <w:rPr>
          <w:rFonts w:cs="Arial"/>
        </w:rPr>
        <w:t xml:space="preserve">whether there should be </w:t>
      </w:r>
      <w:r w:rsidR="0078609B">
        <w:rPr>
          <w:rFonts w:cs="Arial"/>
        </w:rPr>
        <w:t>regulation of</w:t>
      </w:r>
      <w:r>
        <w:rPr>
          <w:rFonts w:cs="Arial"/>
        </w:rPr>
        <w:t xml:space="preserve"> the number of changes that could be introduced using this technique. One suggestion involved using two amino acid changes as the cut off, as the likelihood of generating more than this through random mutagenesis was considered extremely low.</w:t>
      </w:r>
      <w:r w:rsidR="00CD5A06">
        <w:rPr>
          <w:rFonts w:cs="Arial"/>
        </w:rPr>
        <w:t xml:space="preserve"> </w:t>
      </w:r>
      <w:r w:rsidR="00722930">
        <w:rPr>
          <w:rFonts w:cs="Arial"/>
        </w:rPr>
        <w:t>However</w:t>
      </w:r>
      <w:r w:rsidR="00CD5A06">
        <w:rPr>
          <w:rFonts w:cs="Arial"/>
        </w:rPr>
        <w:t xml:space="preserve"> </w:t>
      </w:r>
      <w:r w:rsidR="00722930">
        <w:rPr>
          <w:rFonts w:cs="Arial"/>
        </w:rPr>
        <w:t>it</w:t>
      </w:r>
      <w:r w:rsidR="00CD5A06">
        <w:rPr>
          <w:rFonts w:cs="Arial"/>
        </w:rPr>
        <w:t xml:space="preserve"> was </w:t>
      </w:r>
      <w:r w:rsidR="00E445E9">
        <w:rPr>
          <w:rFonts w:cs="Arial"/>
        </w:rPr>
        <w:t xml:space="preserve">thought </w:t>
      </w:r>
      <w:r w:rsidR="00722930">
        <w:rPr>
          <w:rFonts w:cs="Arial"/>
        </w:rPr>
        <w:t>this might be difficult to implement under the current</w:t>
      </w:r>
      <w:r w:rsidR="00CD5A06">
        <w:rPr>
          <w:rFonts w:cs="Arial"/>
        </w:rPr>
        <w:t xml:space="preserve"> </w:t>
      </w:r>
      <w:r w:rsidR="00722930">
        <w:rPr>
          <w:rFonts w:cs="Arial"/>
        </w:rPr>
        <w:t xml:space="preserve">GM food standard and </w:t>
      </w:r>
      <w:r w:rsidR="00CD5A06">
        <w:rPr>
          <w:rFonts w:cs="Arial"/>
        </w:rPr>
        <w:t>FSANZ application process</w:t>
      </w:r>
      <w:r w:rsidR="00722930">
        <w:rPr>
          <w:rFonts w:cs="Arial"/>
        </w:rPr>
        <w:t xml:space="preserve"> which does not provide the flexibility to distinguish between different products of the same process. Capture would therefore have to be all or none</w:t>
      </w:r>
      <w:r w:rsidR="00E445E9">
        <w:rPr>
          <w:rFonts w:cs="Arial"/>
        </w:rPr>
        <w:t xml:space="preserve">. </w:t>
      </w:r>
      <w:r w:rsidR="00722930">
        <w:rPr>
          <w:rFonts w:cs="Arial"/>
        </w:rPr>
        <w:t>It</w:t>
      </w:r>
      <w:r w:rsidR="00CD5A06">
        <w:rPr>
          <w:rFonts w:cs="Arial"/>
        </w:rPr>
        <w:t xml:space="preserve"> was acknowledged </w:t>
      </w:r>
      <w:r w:rsidR="00722930">
        <w:rPr>
          <w:rFonts w:cs="Arial"/>
        </w:rPr>
        <w:t xml:space="preserve">however </w:t>
      </w:r>
      <w:r w:rsidR="00CD5A06">
        <w:rPr>
          <w:rFonts w:cs="Arial"/>
        </w:rPr>
        <w:t xml:space="preserve">that it is difficult with ZFN technology because </w:t>
      </w:r>
      <w:r w:rsidR="00EA6F17">
        <w:rPr>
          <w:rFonts w:cs="Arial"/>
        </w:rPr>
        <w:t>there are potentially a number of</w:t>
      </w:r>
      <w:r w:rsidR="00CD5A06">
        <w:rPr>
          <w:rFonts w:cs="Arial"/>
        </w:rPr>
        <w:t xml:space="preserve"> different categories of end-products.</w:t>
      </w:r>
    </w:p>
    <w:p w:rsidR="00D31A34" w:rsidRDefault="00D31A34" w:rsidP="005B669C">
      <w:pPr>
        <w:pStyle w:val="ListParagraph"/>
        <w:ind w:left="360"/>
        <w:rPr>
          <w:rFonts w:cs="Arial"/>
        </w:rPr>
      </w:pPr>
    </w:p>
    <w:p w:rsidR="00F570AE" w:rsidRDefault="00D31A34" w:rsidP="00DC6F63">
      <w:pPr>
        <w:pStyle w:val="ListParagraph"/>
        <w:numPr>
          <w:ilvl w:val="0"/>
          <w:numId w:val="12"/>
        </w:numPr>
        <w:rPr>
          <w:rFonts w:cs="Arial"/>
        </w:rPr>
      </w:pPr>
      <w:r>
        <w:rPr>
          <w:rFonts w:cs="Arial"/>
        </w:rPr>
        <w:t xml:space="preserve">In terms of unintended effects, these mostly relate to the introduction of DSBs at sites other than the intended target site. This has been associated with cytotoxicity, although various strategies have now been developed which have significantly improved the specificity of ZFNs. </w:t>
      </w:r>
      <w:r w:rsidR="00611A6A">
        <w:rPr>
          <w:rFonts w:cs="Arial"/>
        </w:rPr>
        <w:t xml:space="preserve">Non-specific DSBs that prove to be cytotoxic </w:t>
      </w:r>
      <w:r w:rsidR="00B538B8">
        <w:rPr>
          <w:rFonts w:cs="Arial"/>
        </w:rPr>
        <w:t xml:space="preserve">would </w:t>
      </w:r>
      <w:r w:rsidR="00611A6A">
        <w:rPr>
          <w:rFonts w:cs="Arial"/>
        </w:rPr>
        <w:t xml:space="preserve">be self-limiting. </w:t>
      </w:r>
      <w:r w:rsidR="00B538B8">
        <w:rPr>
          <w:rFonts w:cs="Arial"/>
        </w:rPr>
        <w:t>T</w:t>
      </w:r>
      <w:r w:rsidR="00611A6A">
        <w:rPr>
          <w:rFonts w:cs="Arial"/>
        </w:rPr>
        <w:t xml:space="preserve">he unintended changes that are not cytotoxic </w:t>
      </w:r>
      <w:r w:rsidR="00F527DF">
        <w:rPr>
          <w:rFonts w:cs="Arial"/>
        </w:rPr>
        <w:t>would be more of a concern, but, relative to mutagenesis (by chemical treatment or irradiation)</w:t>
      </w:r>
      <w:r w:rsidR="00116D47">
        <w:rPr>
          <w:rFonts w:cs="Arial"/>
        </w:rPr>
        <w:t>,</w:t>
      </w:r>
      <w:r w:rsidR="00F527DF">
        <w:rPr>
          <w:rFonts w:cs="Arial"/>
        </w:rPr>
        <w:t xml:space="preserve"> ZFN </w:t>
      </w:r>
      <w:r w:rsidR="003E6413">
        <w:rPr>
          <w:rFonts w:cs="Arial"/>
        </w:rPr>
        <w:t xml:space="preserve">technology </w:t>
      </w:r>
      <w:r w:rsidR="00611A6A">
        <w:rPr>
          <w:rFonts w:cs="Arial"/>
        </w:rPr>
        <w:t xml:space="preserve">is </w:t>
      </w:r>
      <w:r w:rsidR="00116D47">
        <w:rPr>
          <w:rFonts w:cs="Arial"/>
        </w:rPr>
        <w:t xml:space="preserve">considered </w:t>
      </w:r>
      <w:r w:rsidR="00611A6A">
        <w:rPr>
          <w:rFonts w:cs="Arial"/>
        </w:rPr>
        <w:t>a clean procedure.</w:t>
      </w:r>
    </w:p>
    <w:p w:rsidR="00641816" w:rsidRPr="00641816" w:rsidRDefault="00641816" w:rsidP="005B669C">
      <w:pPr>
        <w:pStyle w:val="ListParagraph"/>
        <w:rPr>
          <w:rFonts w:cs="Arial"/>
        </w:rPr>
      </w:pPr>
    </w:p>
    <w:p w:rsidR="009A4C6B" w:rsidRDefault="00EE02AC" w:rsidP="00DC6F63">
      <w:pPr>
        <w:pStyle w:val="ListParagraph"/>
        <w:numPr>
          <w:ilvl w:val="0"/>
          <w:numId w:val="12"/>
        </w:numPr>
        <w:rPr>
          <w:rFonts w:cs="Arial"/>
        </w:rPr>
      </w:pPr>
      <w:r w:rsidRPr="00DF7AF0">
        <w:rPr>
          <w:rFonts w:cs="Arial"/>
        </w:rPr>
        <w:t xml:space="preserve">Some time was devoted to discussing the </w:t>
      </w:r>
      <w:r w:rsidR="00A77825" w:rsidRPr="00DF7AF0">
        <w:rPr>
          <w:rFonts w:cs="Arial"/>
        </w:rPr>
        <w:t xml:space="preserve">various </w:t>
      </w:r>
      <w:r w:rsidRPr="00DF7AF0">
        <w:rPr>
          <w:rFonts w:cs="Arial"/>
        </w:rPr>
        <w:t>delivery mechanism</w:t>
      </w:r>
      <w:r w:rsidR="00A77825" w:rsidRPr="00DF7AF0">
        <w:rPr>
          <w:rFonts w:cs="Arial"/>
        </w:rPr>
        <w:t>s</w:t>
      </w:r>
      <w:r w:rsidRPr="00DF7AF0">
        <w:rPr>
          <w:rFonts w:cs="Arial"/>
        </w:rPr>
        <w:t xml:space="preserve"> and whether this should </w:t>
      </w:r>
      <w:r w:rsidR="00A77825" w:rsidRPr="00DF7AF0">
        <w:rPr>
          <w:rFonts w:cs="Arial"/>
        </w:rPr>
        <w:t xml:space="preserve">make any difference in terms of </w:t>
      </w:r>
      <w:r w:rsidR="0075016E">
        <w:rPr>
          <w:rFonts w:cs="Arial"/>
        </w:rPr>
        <w:t>potential safety concerns</w:t>
      </w:r>
      <w:r w:rsidRPr="00DF7AF0">
        <w:rPr>
          <w:rFonts w:cs="Arial"/>
        </w:rPr>
        <w:t xml:space="preserve">. </w:t>
      </w:r>
      <w:r w:rsidR="00936E1E" w:rsidRPr="00DF7AF0">
        <w:rPr>
          <w:rFonts w:cs="Arial"/>
        </w:rPr>
        <w:t xml:space="preserve">In the case where the ZFN is delivered as a protein to the cells, this does not seem to be any different from applying a chemical mutagen such as EMS or exposing the whole plant to radiation. However, if a protein-mediated form of delivery was used for ZFN-3 then this would not negate the fact that the </w:t>
      </w:r>
      <w:r w:rsidR="006E60D3">
        <w:rPr>
          <w:rFonts w:cs="Arial"/>
        </w:rPr>
        <w:t>plant</w:t>
      </w:r>
      <w:r w:rsidR="006E60D3" w:rsidRPr="00DF7AF0">
        <w:rPr>
          <w:rFonts w:cs="Arial"/>
        </w:rPr>
        <w:t xml:space="preserve"> </w:t>
      </w:r>
      <w:r w:rsidR="00936E1E" w:rsidRPr="00DF7AF0">
        <w:rPr>
          <w:rFonts w:cs="Arial"/>
        </w:rPr>
        <w:t xml:space="preserve">is </w:t>
      </w:r>
      <w:r w:rsidR="006E60D3">
        <w:rPr>
          <w:rFonts w:cs="Arial"/>
        </w:rPr>
        <w:t>transgenic</w:t>
      </w:r>
      <w:r w:rsidR="00936E1E" w:rsidRPr="00DF7AF0">
        <w:rPr>
          <w:rFonts w:cs="Arial"/>
        </w:rPr>
        <w:t xml:space="preserve">. Equally, </w:t>
      </w:r>
      <w:r w:rsidR="00765967">
        <w:rPr>
          <w:rFonts w:cs="Arial"/>
        </w:rPr>
        <w:t xml:space="preserve">plants </w:t>
      </w:r>
      <w:r w:rsidR="00765967" w:rsidRPr="00DF7AF0">
        <w:rPr>
          <w:rFonts w:cs="Arial"/>
        </w:rPr>
        <w:t>stabl</w:t>
      </w:r>
      <w:r w:rsidR="00765967">
        <w:rPr>
          <w:rFonts w:cs="Arial"/>
        </w:rPr>
        <w:t>y</w:t>
      </w:r>
      <w:r w:rsidR="00765967" w:rsidRPr="00DF7AF0">
        <w:rPr>
          <w:rFonts w:cs="Arial"/>
        </w:rPr>
        <w:t xml:space="preserve"> transform</w:t>
      </w:r>
      <w:r w:rsidR="00765967">
        <w:rPr>
          <w:rFonts w:cs="Arial"/>
        </w:rPr>
        <w:t>ed</w:t>
      </w:r>
      <w:r w:rsidR="00765967" w:rsidRPr="00DF7AF0">
        <w:rPr>
          <w:rFonts w:cs="Arial"/>
        </w:rPr>
        <w:t xml:space="preserve"> </w:t>
      </w:r>
      <w:r w:rsidR="00765967">
        <w:rPr>
          <w:rFonts w:cs="Arial"/>
        </w:rPr>
        <w:t>with a</w:t>
      </w:r>
      <w:r w:rsidR="00936E1E" w:rsidRPr="00DF7AF0">
        <w:rPr>
          <w:rFonts w:cs="Arial"/>
        </w:rPr>
        <w:t xml:space="preserve"> </w:t>
      </w:r>
      <w:r w:rsidR="00451E8B">
        <w:rPr>
          <w:rFonts w:cs="Arial"/>
        </w:rPr>
        <w:t>ZFN</w:t>
      </w:r>
      <w:r w:rsidR="00765967">
        <w:rPr>
          <w:rFonts w:cs="Arial"/>
        </w:rPr>
        <w:t xml:space="preserve"> </w:t>
      </w:r>
      <w:r w:rsidR="00936E1E" w:rsidRPr="00DF7AF0">
        <w:rPr>
          <w:rFonts w:cs="Arial"/>
        </w:rPr>
        <w:t xml:space="preserve">construct, irrespective of whether </w:t>
      </w:r>
      <w:r w:rsidR="00DF7AF0" w:rsidRPr="00DF7AF0">
        <w:rPr>
          <w:rFonts w:cs="Arial"/>
        </w:rPr>
        <w:t>it’s</w:t>
      </w:r>
      <w:r w:rsidR="00936E1E" w:rsidRPr="00DF7AF0">
        <w:rPr>
          <w:rFonts w:cs="Arial"/>
        </w:rPr>
        <w:t xml:space="preserve"> </w:t>
      </w:r>
      <w:r w:rsidR="00DF7AF0">
        <w:rPr>
          <w:rFonts w:cs="Arial"/>
        </w:rPr>
        <w:t xml:space="preserve">used for </w:t>
      </w:r>
      <w:r w:rsidR="00936E1E" w:rsidRPr="00DF7AF0">
        <w:rPr>
          <w:rFonts w:cs="Arial"/>
        </w:rPr>
        <w:t xml:space="preserve">ZFN-1, ZFN-2 or ZFN-3 would </w:t>
      </w:r>
      <w:r w:rsidR="00765967">
        <w:rPr>
          <w:rFonts w:cs="Arial"/>
        </w:rPr>
        <w:t>also be classified as transgenic</w:t>
      </w:r>
      <w:r w:rsidR="00936E1E" w:rsidRPr="00DF7AF0">
        <w:rPr>
          <w:rFonts w:cs="Arial"/>
        </w:rPr>
        <w:t xml:space="preserve">. </w:t>
      </w:r>
      <w:r w:rsidR="00FC40F0">
        <w:rPr>
          <w:rFonts w:cs="Arial"/>
        </w:rPr>
        <w:t xml:space="preserve">Given the types of ZFN technology in combination with the different delivery methods used, a decision tree might potentially aid in distinguishing between the different </w:t>
      </w:r>
      <w:r w:rsidR="006B7F4A">
        <w:rPr>
          <w:rFonts w:cs="Arial"/>
        </w:rPr>
        <w:t>categories</w:t>
      </w:r>
      <w:r w:rsidR="00FC40F0">
        <w:rPr>
          <w:rFonts w:cs="Arial"/>
        </w:rPr>
        <w:t xml:space="preserve"> of end products for the purposes of regulation.</w:t>
      </w:r>
    </w:p>
    <w:p w:rsidR="00DF7AF0" w:rsidRPr="00DF7AF0" w:rsidRDefault="00DF7AF0" w:rsidP="005B669C">
      <w:pPr>
        <w:pStyle w:val="ListParagraph"/>
        <w:rPr>
          <w:rFonts w:cs="Arial"/>
        </w:rPr>
      </w:pPr>
    </w:p>
    <w:p w:rsidR="00CF2F78" w:rsidRPr="00003CA9" w:rsidRDefault="006B7F4A" w:rsidP="00DC6F63">
      <w:pPr>
        <w:pStyle w:val="ListParagraph"/>
        <w:numPr>
          <w:ilvl w:val="0"/>
          <w:numId w:val="12"/>
        </w:numPr>
        <w:rPr>
          <w:rFonts w:cs="Arial"/>
        </w:rPr>
      </w:pPr>
      <w:r w:rsidRPr="00003CA9">
        <w:rPr>
          <w:rFonts w:cs="Arial"/>
        </w:rPr>
        <w:t xml:space="preserve">The panel also discussed the possibility of using </w:t>
      </w:r>
      <w:r w:rsidR="00CD7309" w:rsidRPr="00003CA9">
        <w:rPr>
          <w:rFonts w:cs="Arial"/>
        </w:rPr>
        <w:t>ZFN</w:t>
      </w:r>
      <w:r w:rsidRPr="00003CA9">
        <w:rPr>
          <w:rFonts w:cs="Arial"/>
        </w:rPr>
        <w:t xml:space="preserve"> technology, particularly ZFN-3,</w:t>
      </w:r>
      <w:r w:rsidR="00CD7309" w:rsidRPr="00003CA9">
        <w:rPr>
          <w:rFonts w:cs="Arial"/>
        </w:rPr>
        <w:t xml:space="preserve"> to create </w:t>
      </w:r>
      <w:r w:rsidRPr="00003CA9">
        <w:rPr>
          <w:rFonts w:cs="Arial"/>
        </w:rPr>
        <w:t>fixed sites (eg ‘</w:t>
      </w:r>
      <w:r w:rsidR="00CD7309" w:rsidRPr="00003CA9">
        <w:rPr>
          <w:rFonts w:cs="Arial"/>
        </w:rPr>
        <w:t>docking stations</w:t>
      </w:r>
      <w:r w:rsidRPr="00003CA9">
        <w:rPr>
          <w:rFonts w:cs="Arial"/>
        </w:rPr>
        <w:t xml:space="preserve">’) in a genome into which any gene of interest could be inserted. The idea being that once the background has been assessed in terms of unintended effects arising form the insertion event, it would not need to be reassessed again </w:t>
      </w:r>
      <w:r w:rsidR="00255A45" w:rsidRPr="00003CA9">
        <w:rPr>
          <w:rFonts w:cs="Arial"/>
        </w:rPr>
        <w:t xml:space="preserve">for subsequent applications </w:t>
      </w:r>
      <w:r w:rsidRPr="00003CA9">
        <w:rPr>
          <w:rFonts w:cs="Arial"/>
        </w:rPr>
        <w:t xml:space="preserve">and instead the assessment would just focus on the inserted gene and any changes associated with its expression. </w:t>
      </w:r>
      <w:r w:rsidR="007A44A9">
        <w:rPr>
          <w:rFonts w:cs="Arial"/>
        </w:rPr>
        <w:t>In this situation,</w:t>
      </w:r>
      <w:r w:rsidR="007A44A9" w:rsidRPr="00003CA9">
        <w:rPr>
          <w:rFonts w:cs="Arial"/>
        </w:rPr>
        <w:t xml:space="preserve"> </w:t>
      </w:r>
      <w:r w:rsidRPr="00003CA9">
        <w:rPr>
          <w:rFonts w:cs="Arial"/>
        </w:rPr>
        <w:t>the safety assessment would mainly focus on the molecular characterisation and novel protein characterisation (potential allergenicity/toxicity)</w:t>
      </w:r>
      <w:r w:rsidR="00255A45" w:rsidRPr="00003CA9">
        <w:rPr>
          <w:rFonts w:cs="Arial"/>
        </w:rPr>
        <w:t xml:space="preserve"> and possibly a limited compositional analysis, depending on the nature of the introduced gene</w:t>
      </w:r>
      <w:r w:rsidRPr="00003CA9">
        <w:rPr>
          <w:rFonts w:cs="Arial"/>
        </w:rPr>
        <w:t>.</w:t>
      </w:r>
      <w:r w:rsidR="00255A45" w:rsidRPr="00003CA9">
        <w:rPr>
          <w:rFonts w:cs="Arial"/>
        </w:rPr>
        <w:t xml:space="preserve"> </w:t>
      </w:r>
      <w:r w:rsidR="007A44A9">
        <w:rPr>
          <w:rFonts w:cs="Arial"/>
        </w:rPr>
        <w:t>However it was noted that</w:t>
      </w:r>
      <w:r w:rsidR="00255A45" w:rsidRPr="00003CA9">
        <w:rPr>
          <w:rFonts w:cs="Arial"/>
        </w:rPr>
        <w:t xml:space="preserve"> </w:t>
      </w:r>
      <w:r w:rsidR="00003CA9" w:rsidRPr="00003CA9">
        <w:rPr>
          <w:rFonts w:cs="Arial"/>
        </w:rPr>
        <w:t>if the docking site was used to insert a large number of genes</w:t>
      </w:r>
      <w:r w:rsidR="007A44A9">
        <w:rPr>
          <w:rFonts w:cs="Arial"/>
        </w:rPr>
        <w:t>,</w:t>
      </w:r>
      <w:r w:rsidR="00003CA9" w:rsidRPr="00003CA9">
        <w:rPr>
          <w:rFonts w:cs="Arial"/>
        </w:rPr>
        <w:t xml:space="preserve"> this might change how the site behaves and therefore the issue of unintended effects </w:t>
      </w:r>
      <w:r w:rsidR="007A44A9">
        <w:rPr>
          <w:rFonts w:cs="Arial"/>
        </w:rPr>
        <w:t>would possibly need to be reconsidered</w:t>
      </w:r>
      <w:r w:rsidR="00003CA9" w:rsidRPr="00003CA9">
        <w:rPr>
          <w:rFonts w:cs="Arial"/>
        </w:rPr>
        <w:t>.</w:t>
      </w:r>
    </w:p>
    <w:p w:rsidR="00E54E52" w:rsidRDefault="00E54E52" w:rsidP="005B669C">
      <w:pPr>
        <w:pStyle w:val="Heading5"/>
      </w:pPr>
      <w:r>
        <w:t xml:space="preserve">Conclusions </w:t>
      </w:r>
    </w:p>
    <w:p w:rsidR="004567D3" w:rsidRDefault="00962159" w:rsidP="005B669C">
      <w:pPr>
        <w:rPr>
          <w:rFonts w:cs="Arial"/>
        </w:rPr>
      </w:pPr>
      <w:r>
        <w:rPr>
          <w:rFonts w:cs="Arial"/>
        </w:rPr>
        <w:t>The panel concluded the following:</w:t>
      </w:r>
    </w:p>
    <w:p w:rsidR="00962159" w:rsidRDefault="00962159" w:rsidP="005B669C">
      <w:pPr>
        <w:rPr>
          <w:rFonts w:cs="Arial"/>
        </w:rPr>
      </w:pPr>
    </w:p>
    <w:p w:rsidR="00962159" w:rsidRDefault="003B1079" w:rsidP="00DC6F63">
      <w:pPr>
        <w:pStyle w:val="ListParagraph"/>
        <w:numPr>
          <w:ilvl w:val="0"/>
          <w:numId w:val="13"/>
        </w:numPr>
        <w:rPr>
          <w:rFonts w:cs="Arial"/>
        </w:rPr>
      </w:pPr>
      <w:r>
        <w:rPr>
          <w:rFonts w:cs="Arial"/>
        </w:rPr>
        <w:t xml:space="preserve">ZFN-3, which involves introducing a new gene into a specific site in the genome, is equivalent to </w:t>
      </w:r>
      <w:r w:rsidR="00071F7F">
        <w:rPr>
          <w:rFonts w:cs="Arial"/>
        </w:rPr>
        <w:t>standard</w:t>
      </w:r>
      <w:r>
        <w:rPr>
          <w:rFonts w:cs="Arial"/>
        </w:rPr>
        <w:t xml:space="preserve"> transgenesis.  </w:t>
      </w:r>
    </w:p>
    <w:p w:rsidR="003B1079" w:rsidRDefault="003B1079" w:rsidP="005B669C">
      <w:pPr>
        <w:rPr>
          <w:rFonts w:cs="Arial"/>
        </w:rPr>
      </w:pPr>
    </w:p>
    <w:p w:rsidR="00290C69" w:rsidRPr="002417FE" w:rsidRDefault="00C77C3C" w:rsidP="005B669C">
      <w:pPr>
        <w:pStyle w:val="ListParagraph"/>
        <w:numPr>
          <w:ilvl w:val="0"/>
          <w:numId w:val="13"/>
        </w:numPr>
        <w:rPr>
          <w:rFonts w:cs="Arial"/>
        </w:rPr>
      </w:pPr>
      <w:r w:rsidRPr="002417FE">
        <w:rPr>
          <w:rFonts w:cs="Arial"/>
        </w:rPr>
        <w:t xml:space="preserve">ZFN-1 and ZFN-2 are mutagenic techniques that </w:t>
      </w:r>
      <w:r w:rsidR="004562C0" w:rsidRPr="002417FE">
        <w:rPr>
          <w:rFonts w:cs="Arial"/>
        </w:rPr>
        <w:t xml:space="preserve">are </w:t>
      </w:r>
      <w:r w:rsidRPr="002417FE">
        <w:rPr>
          <w:rFonts w:cs="Arial"/>
        </w:rPr>
        <w:t>conceptually s</w:t>
      </w:r>
      <w:r w:rsidR="00F23DA0" w:rsidRPr="002417FE">
        <w:rPr>
          <w:rFonts w:cs="Arial"/>
        </w:rPr>
        <w:t>imilar to ODM</w:t>
      </w:r>
      <w:r w:rsidR="004562C0" w:rsidRPr="002417FE">
        <w:rPr>
          <w:rFonts w:cs="Arial"/>
        </w:rPr>
        <w:t xml:space="preserve">. Such techniques do not present a significantly greater </w:t>
      </w:r>
      <w:r w:rsidR="008D25DB" w:rsidRPr="002417FE">
        <w:rPr>
          <w:rFonts w:cs="Arial"/>
        </w:rPr>
        <w:t xml:space="preserve">food safety </w:t>
      </w:r>
      <w:r w:rsidR="004562C0" w:rsidRPr="002417FE">
        <w:rPr>
          <w:rFonts w:cs="Arial"/>
        </w:rPr>
        <w:t xml:space="preserve">concern than other forms of mutagenesis. </w:t>
      </w:r>
      <w:r w:rsidRPr="002417FE">
        <w:rPr>
          <w:rFonts w:cs="Arial"/>
        </w:rPr>
        <w:t xml:space="preserve"> </w:t>
      </w:r>
      <w:r w:rsidR="00616D94" w:rsidRPr="002417FE">
        <w:rPr>
          <w:rFonts w:cs="Arial"/>
        </w:rPr>
        <w:t>The</w:t>
      </w:r>
      <w:r w:rsidR="004562C0" w:rsidRPr="002417FE">
        <w:rPr>
          <w:rFonts w:cs="Arial"/>
        </w:rPr>
        <w:t xml:space="preserve"> changes introduced using ZFN-1 and ZFN-2 </w:t>
      </w:r>
      <w:r w:rsidR="00170E82" w:rsidRPr="002417FE">
        <w:rPr>
          <w:rFonts w:cs="Arial"/>
        </w:rPr>
        <w:t>will be</w:t>
      </w:r>
      <w:r w:rsidR="004562C0" w:rsidRPr="002417FE">
        <w:rPr>
          <w:rFonts w:cs="Arial"/>
        </w:rPr>
        <w:t xml:space="preserve"> </w:t>
      </w:r>
      <w:r w:rsidR="00170E82" w:rsidRPr="002417FE">
        <w:rPr>
          <w:rFonts w:cs="Arial"/>
        </w:rPr>
        <w:t>small</w:t>
      </w:r>
      <w:r w:rsidR="00116D47" w:rsidRPr="002417FE">
        <w:rPr>
          <w:rFonts w:cs="Arial"/>
        </w:rPr>
        <w:t xml:space="preserve">, </w:t>
      </w:r>
      <w:r w:rsidR="00241535" w:rsidRPr="002417FE">
        <w:rPr>
          <w:rFonts w:cs="Arial"/>
        </w:rPr>
        <w:t>definable</w:t>
      </w:r>
      <w:r w:rsidR="004562C0" w:rsidRPr="002417FE">
        <w:rPr>
          <w:rFonts w:cs="Arial"/>
        </w:rPr>
        <w:t xml:space="preserve"> and the outcomes predictable. </w:t>
      </w:r>
      <w:r w:rsidR="00170E82" w:rsidRPr="002417FE">
        <w:rPr>
          <w:rFonts w:cs="Arial"/>
        </w:rPr>
        <w:t xml:space="preserve">Food derived from plants modified using ZFN-1 and ZFN-2 would be similar to </w:t>
      </w:r>
      <w:r w:rsidR="00E52EFA" w:rsidRPr="002417FE">
        <w:rPr>
          <w:rFonts w:cs="Arial"/>
        </w:rPr>
        <w:t>food</w:t>
      </w:r>
      <w:r w:rsidR="008357BB">
        <w:rPr>
          <w:rFonts w:cs="Arial"/>
        </w:rPr>
        <w:t xml:space="preserve"> produced u</w:t>
      </w:r>
      <w:r w:rsidR="00E52EFA" w:rsidRPr="002417FE">
        <w:rPr>
          <w:rFonts w:cs="Arial"/>
        </w:rPr>
        <w:t>s</w:t>
      </w:r>
      <w:r w:rsidR="008357BB">
        <w:rPr>
          <w:rFonts w:cs="Arial"/>
        </w:rPr>
        <w:t>ing</w:t>
      </w:r>
      <w:r w:rsidR="00E52EFA" w:rsidRPr="002417FE">
        <w:rPr>
          <w:rFonts w:cs="Arial"/>
        </w:rPr>
        <w:t xml:space="preserve"> </w:t>
      </w:r>
      <w:r w:rsidR="00071F7F">
        <w:rPr>
          <w:rFonts w:cs="Arial"/>
        </w:rPr>
        <w:t>traditional</w:t>
      </w:r>
      <w:r w:rsidR="00616D94" w:rsidRPr="002417FE">
        <w:rPr>
          <w:rFonts w:cs="Arial"/>
        </w:rPr>
        <w:t xml:space="preserve"> mutagenic techniques</w:t>
      </w:r>
      <w:r w:rsidR="00E52EFA" w:rsidRPr="002417FE">
        <w:rPr>
          <w:rFonts w:cs="Arial"/>
        </w:rPr>
        <w:t>,</w:t>
      </w:r>
      <w:r w:rsidR="00170E82" w:rsidRPr="002417FE">
        <w:rPr>
          <w:rFonts w:cs="Arial"/>
        </w:rPr>
        <w:t xml:space="preserve"> </w:t>
      </w:r>
      <w:r w:rsidR="005942A4" w:rsidRPr="002417FE">
        <w:rPr>
          <w:rFonts w:cs="Arial"/>
        </w:rPr>
        <w:t>and should therefore</w:t>
      </w:r>
      <w:r w:rsidR="00170E82" w:rsidRPr="002417FE">
        <w:rPr>
          <w:rFonts w:cs="Arial"/>
        </w:rPr>
        <w:t xml:space="preserve"> not </w:t>
      </w:r>
      <w:r w:rsidR="005942A4" w:rsidRPr="002417FE">
        <w:rPr>
          <w:rFonts w:cs="Arial"/>
        </w:rPr>
        <w:t xml:space="preserve">be </w:t>
      </w:r>
      <w:r w:rsidR="00170E82" w:rsidRPr="002417FE">
        <w:rPr>
          <w:rFonts w:cs="Arial"/>
        </w:rPr>
        <w:t xml:space="preserve">regarded as GM food. </w:t>
      </w:r>
    </w:p>
    <w:p w:rsidR="00956BBD" w:rsidRDefault="00956BBD">
      <w:pPr>
        <w:spacing w:after="200" w:line="276" w:lineRule="auto"/>
        <w:rPr>
          <w:rFonts w:eastAsiaTheme="majorEastAsia" w:cstheme="majorBidi"/>
          <w:b/>
          <w:bCs/>
          <w:sz w:val="24"/>
          <w:szCs w:val="24"/>
          <w:lang w:eastAsia="en-AU"/>
        </w:rPr>
      </w:pPr>
      <w:r>
        <w:br w:type="page"/>
      </w:r>
    </w:p>
    <w:p w:rsidR="000962A4" w:rsidRPr="004F2660" w:rsidRDefault="000962A4" w:rsidP="00D03993">
      <w:pPr>
        <w:pStyle w:val="Heading2"/>
      </w:pPr>
      <w:bookmarkStart w:id="10" w:name="_Toc350235772"/>
      <w:r w:rsidRPr="004F2660">
        <w:t>Appendix 1</w:t>
      </w:r>
      <w:r w:rsidR="00AD1FA5" w:rsidRPr="004F2660">
        <w:t xml:space="preserve">: </w:t>
      </w:r>
      <w:r w:rsidR="0006137B" w:rsidRPr="004F2660">
        <w:t>Expert Panel</w:t>
      </w:r>
      <w:bookmarkEnd w:id="10"/>
    </w:p>
    <w:p w:rsidR="005E0530" w:rsidRDefault="005E0530" w:rsidP="005B669C">
      <w:pPr>
        <w:rPr>
          <w:rFonts w:cs="Arial"/>
          <w:u w:val="single"/>
        </w:rPr>
      </w:pPr>
    </w:p>
    <w:p w:rsidR="0024070C" w:rsidRPr="0024070C" w:rsidRDefault="0006137B" w:rsidP="005B669C">
      <w:pPr>
        <w:rPr>
          <w:rFonts w:cs="Arial"/>
          <w:u w:val="single"/>
        </w:rPr>
      </w:pPr>
      <w:r w:rsidRPr="0024070C">
        <w:rPr>
          <w:rFonts w:cs="Arial"/>
          <w:u w:val="single"/>
        </w:rPr>
        <w:t>Chair</w:t>
      </w:r>
      <w:r w:rsidR="0024070C" w:rsidRPr="0024070C">
        <w:rPr>
          <w:rFonts w:cs="Arial"/>
          <w:u w:val="single"/>
        </w:rPr>
        <w:t>:</w:t>
      </w:r>
    </w:p>
    <w:p w:rsidR="0024070C" w:rsidRDefault="0024070C" w:rsidP="005B669C">
      <w:pPr>
        <w:rPr>
          <w:rFonts w:cs="Arial"/>
        </w:rPr>
      </w:pPr>
    </w:p>
    <w:p w:rsidR="0006137B" w:rsidRDefault="0006137B" w:rsidP="005B669C">
      <w:pPr>
        <w:rPr>
          <w:rFonts w:cs="Arial"/>
        </w:rPr>
      </w:pPr>
      <w:r>
        <w:rPr>
          <w:rFonts w:cs="Arial"/>
        </w:rPr>
        <w:t>Professor Peter Langridge</w:t>
      </w:r>
      <w:r w:rsidR="0024070C">
        <w:rPr>
          <w:rFonts w:cs="Arial"/>
        </w:rPr>
        <w:t xml:space="preserve"> (</w:t>
      </w:r>
      <w:r w:rsidR="00527BBD">
        <w:rPr>
          <w:rFonts w:cs="Arial"/>
        </w:rPr>
        <w:t xml:space="preserve">Director and </w:t>
      </w:r>
      <w:r w:rsidR="0024070C">
        <w:rPr>
          <w:rFonts w:cs="Arial"/>
        </w:rPr>
        <w:t>CEO, Australian Centre for Plant Functional Genomics</w:t>
      </w:r>
      <w:r w:rsidR="00527BBD">
        <w:rPr>
          <w:rFonts w:cs="Arial"/>
        </w:rPr>
        <w:t>, University of Adelaide</w:t>
      </w:r>
      <w:r w:rsidR="0024070C">
        <w:rPr>
          <w:rFonts w:cs="Arial"/>
        </w:rPr>
        <w:t>)</w:t>
      </w:r>
    </w:p>
    <w:p w:rsidR="0006137B" w:rsidRDefault="0006137B" w:rsidP="005B669C">
      <w:pPr>
        <w:rPr>
          <w:rFonts w:cs="Arial"/>
        </w:rPr>
      </w:pPr>
    </w:p>
    <w:p w:rsidR="0024070C" w:rsidRPr="0024070C" w:rsidRDefault="0024070C" w:rsidP="005B669C">
      <w:pPr>
        <w:rPr>
          <w:rFonts w:cs="Arial"/>
          <w:u w:val="single"/>
        </w:rPr>
      </w:pPr>
      <w:r w:rsidRPr="0024070C">
        <w:rPr>
          <w:rFonts w:cs="Arial"/>
          <w:u w:val="single"/>
        </w:rPr>
        <w:t>Panel Members:</w:t>
      </w:r>
    </w:p>
    <w:p w:rsidR="0024070C" w:rsidRDefault="0024070C" w:rsidP="005B669C">
      <w:pPr>
        <w:rPr>
          <w:rFonts w:cs="Arial"/>
        </w:rPr>
      </w:pPr>
    </w:p>
    <w:p w:rsidR="0006137B" w:rsidRDefault="0006137B" w:rsidP="005B669C">
      <w:pPr>
        <w:rPr>
          <w:rFonts w:cs="Arial"/>
        </w:rPr>
      </w:pPr>
      <w:r>
        <w:rPr>
          <w:rFonts w:cs="Arial"/>
        </w:rPr>
        <w:t>Dr Paul Brent</w:t>
      </w:r>
      <w:r w:rsidR="0024070C">
        <w:rPr>
          <w:rFonts w:cs="Arial"/>
        </w:rPr>
        <w:t xml:space="preserve"> (Chief Scientist, Food Standards Australia New Zealand)</w:t>
      </w:r>
    </w:p>
    <w:p w:rsidR="0006137B" w:rsidRDefault="0006137B" w:rsidP="005B669C">
      <w:pPr>
        <w:rPr>
          <w:rFonts w:cs="Arial"/>
        </w:rPr>
      </w:pPr>
    </w:p>
    <w:p w:rsidR="0006137B" w:rsidRDefault="00BF15CB" w:rsidP="005B669C">
      <w:pPr>
        <w:rPr>
          <w:rFonts w:cs="Arial"/>
        </w:rPr>
      </w:pPr>
      <w:r>
        <w:rPr>
          <w:rFonts w:cs="Arial"/>
        </w:rPr>
        <w:t xml:space="preserve">Distinguished </w:t>
      </w:r>
      <w:r w:rsidR="0006137B">
        <w:rPr>
          <w:rFonts w:cs="Arial"/>
        </w:rPr>
        <w:t>Professor James Dale</w:t>
      </w:r>
      <w:r w:rsidR="0024070C">
        <w:rPr>
          <w:rFonts w:cs="Arial"/>
        </w:rPr>
        <w:t xml:space="preserve"> (Director, Centre for Tropical Crops and Biocommodities, Queensland University of Technology)</w:t>
      </w:r>
    </w:p>
    <w:p w:rsidR="0006137B" w:rsidRDefault="0006137B" w:rsidP="005B669C">
      <w:pPr>
        <w:rPr>
          <w:rFonts w:cs="Arial"/>
        </w:rPr>
      </w:pPr>
    </w:p>
    <w:p w:rsidR="0006137B" w:rsidRDefault="0006137B" w:rsidP="005B669C">
      <w:pPr>
        <w:rPr>
          <w:rFonts w:cs="Arial"/>
        </w:rPr>
      </w:pPr>
      <w:r>
        <w:rPr>
          <w:rFonts w:cs="Arial"/>
        </w:rPr>
        <w:t>Dr Andrew Granger</w:t>
      </w:r>
      <w:r w:rsidR="0024070C">
        <w:rPr>
          <w:rFonts w:cs="Arial"/>
        </w:rPr>
        <w:t xml:space="preserve"> (General Manager, Science, Plant and Food Research NZ)</w:t>
      </w:r>
    </w:p>
    <w:p w:rsidR="0006137B" w:rsidRDefault="0006137B" w:rsidP="005B669C">
      <w:pPr>
        <w:rPr>
          <w:rFonts w:cs="Arial"/>
        </w:rPr>
      </w:pPr>
    </w:p>
    <w:p w:rsidR="0006137B" w:rsidRDefault="0006137B" w:rsidP="005B669C">
      <w:pPr>
        <w:rPr>
          <w:rFonts w:cs="Arial"/>
        </w:rPr>
      </w:pPr>
      <w:r>
        <w:rPr>
          <w:rFonts w:cs="Arial"/>
        </w:rPr>
        <w:t>Dr Allan Green</w:t>
      </w:r>
      <w:r w:rsidR="0024070C">
        <w:rPr>
          <w:rFonts w:cs="Arial"/>
        </w:rPr>
        <w:t xml:space="preserve"> (Deputy Chief, CSIRO Plant Industry)</w:t>
      </w:r>
    </w:p>
    <w:p w:rsidR="0006137B" w:rsidRDefault="0006137B" w:rsidP="005B669C">
      <w:pPr>
        <w:rPr>
          <w:rFonts w:cs="Arial"/>
        </w:rPr>
      </w:pPr>
    </w:p>
    <w:p w:rsidR="0006137B" w:rsidRDefault="0006137B" w:rsidP="005B669C">
      <w:pPr>
        <w:rPr>
          <w:rFonts w:cs="Arial"/>
        </w:rPr>
      </w:pPr>
      <w:r>
        <w:rPr>
          <w:rFonts w:cs="Arial"/>
        </w:rPr>
        <w:t>Dr Roger Hellens</w:t>
      </w:r>
      <w:r w:rsidR="0024070C">
        <w:rPr>
          <w:rFonts w:cs="Arial"/>
        </w:rPr>
        <w:t xml:space="preserve"> (Science Group Leader, Genomics, Plant and Food Research NZ)</w:t>
      </w:r>
    </w:p>
    <w:p w:rsidR="0006137B" w:rsidRDefault="0006137B" w:rsidP="005B669C">
      <w:pPr>
        <w:rPr>
          <w:rFonts w:cs="Arial"/>
        </w:rPr>
      </w:pPr>
    </w:p>
    <w:p w:rsidR="0006137B" w:rsidRDefault="0006137B" w:rsidP="005B669C">
      <w:pPr>
        <w:rPr>
          <w:rFonts w:cs="Arial"/>
        </w:rPr>
      </w:pPr>
      <w:r>
        <w:rPr>
          <w:rFonts w:cs="Arial"/>
        </w:rPr>
        <w:t>Dr Lisa Kelly</w:t>
      </w:r>
      <w:r w:rsidR="0024070C">
        <w:rPr>
          <w:rFonts w:cs="Arial"/>
        </w:rPr>
        <w:t xml:space="preserve"> (Principal Scientist, Food Standards Australia New Zealand)</w:t>
      </w:r>
    </w:p>
    <w:p w:rsidR="0006137B" w:rsidRDefault="0006137B" w:rsidP="005B669C">
      <w:pPr>
        <w:rPr>
          <w:rFonts w:cs="Arial"/>
        </w:rPr>
      </w:pPr>
    </w:p>
    <w:p w:rsidR="0006137B" w:rsidRDefault="0024070C" w:rsidP="005B669C">
      <w:pPr>
        <w:rPr>
          <w:rFonts w:cs="Arial"/>
        </w:rPr>
      </w:pPr>
      <w:r>
        <w:rPr>
          <w:rFonts w:cs="Arial"/>
        </w:rPr>
        <w:t>Present also were</w:t>
      </w:r>
      <w:r w:rsidR="00F07092">
        <w:rPr>
          <w:rFonts w:cs="Arial"/>
        </w:rPr>
        <w:t>:</w:t>
      </w:r>
      <w:r>
        <w:rPr>
          <w:rFonts w:cs="Arial"/>
        </w:rPr>
        <w:t xml:space="preserve"> </w:t>
      </w:r>
      <w:r w:rsidR="00896C0F">
        <w:rPr>
          <w:rFonts w:cs="Arial"/>
        </w:rPr>
        <w:t xml:space="preserve">Dr Andrew Bartholomaeus, </w:t>
      </w:r>
      <w:r w:rsidR="00F07092">
        <w:rPr>
          <w:rFonts w:cs="Arial"/>
        </w:rPr>
        <w:t xml:space="preserve">Dr Mark FitzRoy, </w:t>
      </w:r>
      <w:r w:rsidR="00896C0F">
        <w:rPr>
          <w:rFonts w:cs="Arial"/>
        </w:rPr>
        <w:t xml:space="preserve">Ms Lynda Graf, </w:t>
      </w:r>
      <w:r w:rsidR="00E52EFA">
        <w:rPr>
          <w:rFonts w:cs="Arial"/>
        </w:rPr>
        <w:t xml:space="preserve">Dr Janet Gorst, </w:t>
      </w:r>
      <w:r w:rsidR="00896C0F">
        <w:rPr>
          <w:rFonts w:cs="Arial"/>
        </w:rPr>
        <w:t>Dr Utz Mueller</w:t>
      </w:r>
      <w:r w:rsidR="00F07092">
        <w:rPr>
          <w:rFonts w:cs="Arial"/>
        </w:rPr>
        <w:t xml:space="preserve"> and</w:t>
      </w:r>
      <w:r w:rsidR="00896C0F">
        <w:rPr>
          <w:rFonts w:cs="Arial"/>
        </w:rPr>
        <w:t xml:space="preserve"> Dr Chris Schyvens from </w:t>
      </w:r>
      <w:r>
        <w:rPr>
          <w:rFonts w:cs="Arial"/>
        </w:rPr>
        <w:t xml:space="preserve">Food Standards Australia New Zealand, </w:t>
      </w:r>
      <w:r w:rsidR="00896C0F">
        <w:rPr>
          <w:rFonts w:cs="Arial"/>
        </w:rPr>
        <w:t xml:space="preserve">Dr Michael Dornbusch, </w:t>
      </w:r>
      <w:r w:rsidR="00F07092">
        <w:rPr>
          <w:rFonts w:cs="Arial"/>
        </w:rPr>
        <w:t xml:space="preserve">Dr Heidi Mitchell, </w:t>
      </w:r>
      <w:r w:rsidR="00896C0F">
        <w:rPr>
          <w:rFonts w:cs="Arial"/>
        </w:rPr>
        <w:t xml:space="preserve">Dr Fiona Murray, Dr </w:t>
      </w:r>
      <w:r w:rsidR="00EF4858">
        <w:rPr>
          <w:rFonts w:cs="Arial"/>
        </w:rPr>
        <w:t>Will Tucker</w:t>
      </w:r>
      <w:r w:rsidR="00F07092">
        <w:rPr>
          <w:rFonts w:cs="Arial"/>
        </w:rPr>
        <w:t xml:space="preserve"> and Dr </w:t>
      </w:r>
      <w:r w:rsidR="00C91A54">
        <w:rPr>
          <w:rFonts w:cs="Arial"/>
        </w:rPr>
        <w:t xml:space="preserve">Brian </w:t>
      </w:r>
      <w:r w:rsidR="00F07092">
        <w:rPr>
          <w:rFonts w:cs="Arial"/>
        </w:rPr>
        <w:t xml:space="preserve">Weir from </w:t>
      </w:r>
      <w:r>
        <w:rPr>
          <w:rFonts w:cs="Arial"/>
        </w:rPr>
        <w:t xml:space="preserve">the Office of the Gene Technology Regulator and </w:t>
      </w:r>
      <w:r w:rsidR="00EF4858">
        <w:rPr>
          <w:rFonts w:cs="Arial"/>
        </w:rPr>
        <w:t xml:space="preserve">Dr Kirsty Allen from </w:t>
      </w:r>
      <w:r>
        <w:rPr>
          <w:rFonts w:cs="Arial"/>
        </w:rPr>
        <w:t>the New Zealand Environmental Protection Authority</w:t>
      </w:r>
      <w:r w:rsidR="001262D6">
        <w:rPr>
          <w:rFonts w:cs="Arial"/>
        </w:rPr>
        <w:t>.</w:t>
      </w:r>
    </w:p>
    <w:p w:rsidR="0006137B" w:rsidRDefault="0006137B" w:rsidP="005B669C">
      <w:pPr>
        <w:rPr>
          <w:rFonts w:cs="Arial"/>
        </w:rPr>
      </w:pPr>
    </w:p>
    <w:p w:rsidR="00044D5E" w:rsidRPr="00DB4FCF" w:rsidRDefault="00DB4FCF" w:rsidP="005B669C">
      <w:pPr>
        <w:rPr>
          <w:rFonts w:cs="Arial"/>
          <w:b/>
        </w:rPr>
      </w:pPr>
      <w:r w:rsidRPr="00DB4FCF">
        <w:rPr>
          <w:rFonts w:cs="Arial"/>
          <w:b/>
        </w:rPr>
        <w:t>Biographies of Panel members</w:t>
      </w:r>
    </w:p>
    <w:p w:rsidR="00DB4FCF" w:rsidRDefault="00DB4FCF" w:rsidP="005B669C">
      <w:pPr>
        <w:rPr>
          <w:rFonts w:cs="Arial"/>
        </w:rPr>
      </w:pPr>
    </w:p>
    <w:p w:rsidR="005B669C" w:rsidRPr="002C4DD8" w:rsidRDefault="005B669C" w:rsidP="005B669C">
      <w:pPr>
        <w:rPr>
          <w:rFonts w:cs="Arial"/>
          <w:u w:val="single"/>
        </w:rPr>
      </w:pPr>
      <w:r w:rsidRPr="002C4DD8">
        <w:rPr>
          <w:rFonts w:cs="Arial"/>
          <w:u w:val="single"/>
        </w:rPr>
        <w:t>Dr Paul Brent</w:t>
      </w:r>
    </w:p>
    <w:p w:rsidR="005B669C" w:rsidRPr="00F45366" w:rsidRDefault="005B669C" w:rsidP="005B669C">
      <w:pPr>
        <w:rPr>
          <w:rFonts w:cs="Arial"/>
        </w:rPr>
      </w:pPr>
    </w:p>
    <w:p w:rsidR="005B669C" w:rsidRPr="00F45366" w:rsidRDefault="005B669C" w:rsidP="005B669C">
      <w:pPr>
        <w:rPr>
          <w:rFonts w:cs="Arial"/>
        </w:rPr>
      </w:pPr>
      <w:r w:rsidRPr="00F45366">
        <w:rPr>
          <w:rFonts w:cs="Arial"/>
        </w:rPr>
        <w:t>Dr Brent is Chief Scientist of Food Standards Australia New Zealand. Prior to this, Paul was Manager of Product Safety Standards section, responsible for risk management of a range of product safety standards, including novel foods, irradiated foods, genetically modified foods, food additives and contaminants.</w:t>
      </w:r>
      <w:r w:rsidRPr="00F45366">
        <w:rPr>
          <w:rFonts w:cs="Arial"/>
          <w:spacing w:val="-3"/>
        </w:rPr>
        <w:t xml:space="preserve"> </w:t>
      </w:r>
      <w:r w:rsidRPr="00F45366">
        <w:rPr>
          <w:rFonts w:cs="Arial"/>
        </w:rPr>
        <w:t xml:space="preserve">Dr Brent has represented FSANZ on GM food issues at several levels, including the Australia New Zealand Food Safety Ministerial Council. </w:t>
      </w:r>
      <w:r w:rsidRPr="00F45366">
        <w:rPr>
          <w:rFonts w:cs="Arial"/>
          <w:spacing w:val="-3"/>
        </w:rPr>
        <w:t xml:space="preserve">Dr Brent has been the Australian delegation leader to the </w:t>
      </w:r>
      <w:r w:rsidRPr="00F45366">
        <w:rPr>
          <w:rFonts w:cs="Arial"/>
        </w:rPr>
        <w:t xml:space="preserve">UN/WHO </w:t>
      </w:r>
      <w:r w:rsidRPr="00F45366">
        <w:rPr>
          <w:rFonts w:cs="Arial"/>
          <w:spacing w:val="-3"/>
        </w:rPr>
        <w:t>Codex Committee on Food Additives and Contaminants for several years.</w:t>
      </w:r>
    </w:p>
    <w:p w:rsidR="005B669C" w:rsidRPr="00F45366" w:rsidRDefault="005B669C" w:rsidP="005B669C">
      <w:pPr>
        <w:rPr>
          <w:rFonts w:cs="Arial"/>
        </w:rPr>
      </w:pPr>
    </w:p>
    <w:p w:rsidR="005B669C" w:rsidRPr="00F45366" w:rsidRDefault="005B669C" w:rsidP="005B669C">
      <w:pPr>
        <w:rPr>
          <w:rFonts w:cs="Arial"/>
          <w:spacing w:val="-3"/>
        </w:rPr>
      </w:pPr>
      <w:r w:rsidRPr="00F45366">
        <w:rPr>
          <w:rFonts w:cs="Arial"/>
        </w:rPr>
        <w:t xml:space="preserve">Dr Brent obtained his Bachelor of Science at Newcastle University and doctorate in Clinical Pharmacology at the University of Newcastle Medical School prior to working as a Research scientist in basic and clinical pharmacology, neuroscience and biochemistry. Prior to his appointment with FSANZ, Dr Brent worked as a toxicologist at the Therapeutic Goods Administration and has experience in the </w:t>
      </w:r>
      <w:r w:rsidRPr="00F45366">
        <w:rPr>
          <w:rFonts w:cs="Arial"/>
          <w:spacing w:val="-3"/>
        </w:rPr>
        <w:t>evaluation of animal and human toxicological data submitted for registration of agricultural, veterinary and industrial chemicals and in support of clinical trials.</w:t>
      </w:r>
    </w:p>
    <w:p w:rsidR="005B669C" w:rsidRPr="00F45366" w:rsidRDefault="005B669C" w:rsidP="005B669C">
      <w:pPr>
        <w:rPr>
          <w:rFonts w:cs="Arial"/>
          <w:b/>
          <w:spacing w:val="-3"/>
        </w:rPr>
      </w:pPr>
    </w:p>
    <w:p w:rsidR="002D4B09" w:rsidRDefault="002D4B09">
      <w:pPr>
        <w:spacing w:after="200" w:line="276" w:lineRule="auto"/>
        <w:rPr>
          <w:rFonts w:cs="Arial"/>
          <w:spacing w:val="-3"/>
          <w:u w:val="single"/>
        </w:rPr>
      </w:pPr>
      <w:r>
        <w:rPr>
          <w:rFonts w:cs="Arial"/>
          <w:spacing w:val="-3"/>
          <w:u w:val="single"/>
        </w:rPr>
        <w:br w:type="page"/>
      </w:r>
    </w:p>
    <w:p w:rsidR="005B669C" w:rsidRPr="002C4DD8" w:rsidRDefault="00BF15CB" w:rsidP="005B669C">
      <w:pPr>
        <w:rPr>
          <w:rFonts w:cs="Arial"/>
          <w:u w:val="single"/>
        </w:rPr>
      </w:pPr>
      <w:r>
        <w:rPr>
          <w:rFonts w:cs="Arial"/>
          <w:spacing w:val="-3"/>
          <w:u w:val="single"/>
        </w:rPr>
        <w:t xml:space="preserve">Distinguished </w:t>
      </w:r>
      <w:r w:rsidR="005B669C" w:rsidRPr="002C4DD8">
        <w:rPr>
          <w:rFonts w:cs="Arial"/>
          <w:spacing w:val="-3"/>
          <w:u w:val="single"/>
        </w:rPr>
        <w:t>Professor James Dale</w:t>
      </w:r>
    </w:p>
    <w:p w:rsidR="005B669C" w:rsidRPr="00F45366" w:rsidRDefault="005B669C" w:rsidP="005B669C">
      <w:pPr>
        <w:rPr>
          <w:rFonts w:cs="Arial"/>
          <w:b/>
        </w:rPr>
      </w:pPr>
    </w:p>
    <w:p w:rsidR="00190D9E" w:rsidRDefault="00190D9E" w:rsidP="00190D9E">
      <w:r>
        <w:t>BScAgr (Hons), PhD Syd</w:t>
      </w:r>
    </w:p>
    <w:p w:rsidR="005B669C" w:rsidRPr="00F45366" w:rsidRDefault="00190D9E" w:rsidP="00190D9E">
      <w:pPr>
        <w:rPr>
          <w:rFonts w:cs="Arial"/>
        </w:rPr>
      </w:pPr>
      <w:r>
        <w:br/>
        <w:t>Distinguished Professor James Dale is the inaugural Director of the Centre for Tropical Crops and Biocommodities (CTCB) at Queensland University of Technology (QUT) which incorporates Tropical Crop Biotechnology, the Syngenta Centre for Sugarcane Biofuels Development and Sugar Research and Innovation (SRI). The CTCB consists of around 50 researchers as well as more than 25 postgraduate students. Prof Dale has been involved in biotechnology research for more than 30 years with specific interests in (i) the biofortification of bananas, (ii) molecular farming for high value medical proteins, including vaccines, in tobacco and bioethanol from sugarcane, and (iii) the development of disease resistance in genetically modified bananas, papaya and sugarcane. He has also led research and development programs in Vietnam, Thailand, Malaysia, India, Tonga, Fiji, PNG and, in Africa, Uganda, Kenya and Tanzania.  Prof Dale has published more than 80 research papers, reviews and book chapters. He an inventor on 9 granted patents or patent applications. He has been a member of the Australian Research Council’s College of Experts (2004-2006) and Chair of the Biological Sciences and Biotechnology Panel (2006), and has been a member of the Gene Technology Technical Advisory Committee (GTTAC) of the Office of the Gene Technology Regulator (2001-2007) and the Queensland Biotechnology Advisory Council.  Prof Dale is leading a major international Grand Challenges in Global Health Project funded by the Bill and Melinda Gates Foundation to develop biofortified and disease resistant bananas for East Africa. The first Australian GM banana field trials commenced in early 2009 and harvesting commenced in early 2010. There are already multiple lines with greater than the target level of pro-vitamin A. The project was further expanded on 2012 into India through a collaboration with BIRAC. In 2004, Prof Dale was made an Officer in the Order of Australia (AO) for services to agricultural biotechnology.</w:t>
      </w:r>
    </w:p>
    <w:p w:rsidR="005B669C" w:rsidRPr="00F45366" w:rsidRDefault="005B669C" w:rsidP="005B669C">
      <w:pPr>
        <w:rPr>
          <w:rFonts w:cs="Arial"/>
        </w:rPr>
      </w:pPr>
    </w:p>
    <w:p w:rsidR="00F65306" w:rsidRPr="001F2BB2" w:rsidRDefault="005B669C" w:rsidP="005B669C">
      <w:pPr>
        <w:rPr>
          <w:rFonts w:cs="Arial"/>
          <w:u w:val="single"/>
        </w:rPr>
      </w:pPr>
      <w:r w:rsidRPr="001F2BB2">
        <w:rPr>
          <w:rFonts w:cs="Arial"/>
          <w:u w:val="single"/>
        </w:rPr>
        <w:t xml:space="preserve">Dr </w:t>
      </w:r>
      <w:r w:rsidR="00F65306" w:rsidRPr="001F2BB2">
        <w:rPr>
          <w:rFonts w:cs="Arial"/>
          <w:u w:val="single"/>
        </w:rPr>
        <w:t>Andrew Granger</w:t>
      </w:r>
    </w:p>
    <w:p w:rsidR="00AA6BA9" w:rsidRDefault="00AA6BA9" w:rsidP="005B669C">
      <w:pPr>
        <w:rPr>
          <w:rFonts w:cs="Arial"/>
          <w:b/>
        </w:rPr>
      </w:pPr>
    </w:p>
    <w:p w:rsidR="00AA6BA9" w:rsidRDefault="005A5E7E" w:rsidP="005B669C">
      <w:r w:rsidRPr="005A5E7E">
        <w:rPr>
          <w:rStyle w:val="Strong"/>
          <w:b w:val="0"/>
        </w:rPr>
        <w:t>Dr Andrew Granger</w:t>
      </w:r>
      <w:r>
        <w:t xml:space="preserve"> is the general manager for Breeding and Genomics at the New Zealand Institute for Plant and Food Research and is responsible for leading all its breeding and genomics programmes conducted in a range of crops, including berryfruit, kiwifruit, pipfruit, summerfruit, hops, arable, vegetable and ornamental species. The programmes involve 250 staff and eight research centres across New Zealand, as well as collaborative projects in Spain, Germany, The Netherlands, United States, South Africa, China and Australia. Andrew's key responsibilities are strategic planning, industry relationships and science direction and quality.</w:t>
      </w:r>
    </w:p>
    <w:p w:rsidR="005A5E7E" w:rsidRDefault="005A5E7E" w:rsidP="005B669C">
      <w:pPr>
        <w:rPr>
          <w:rFonts w:cs="Arial"/>
          <w:b/>
        </w:rPr>
      </w:pPr>
    </w:p>
    <w:p w:rsidR="005B669C" w:rsidRPr="001F2BB2" w:rsidRDefault="00F65306" w:rsidP="005B669C">
      <w:pPr>
        <w:rPr>
          <w:rFonts w:cs="Arial"/>
          <w:u w:val="single"/>
        </w:rPr>
      </w:pPr>
      <w:r w:rsidRPr="001F2BB2">
        <w:rPr>
          <w:rFonts w:cs="Arial"/>
          <w:u w:val="single"/>
        </w:rPr>
        <w:t xml:space="preserve">Dr </w:t>
      </w:r>
      <w:r w:rsidR="005B669C" w:rsidRPr="001F2BB2">
        <w:rPr>
          <w:rFonts w:cs="Arial"/>
          <w:u w:val="single"/>
        </w:rPr>
        <w:t>Allan Green</w:t>
      </w:r>
    </w:p>
    <w:p w:rsidR="00AA6BA9" w:rsidRDefault="00AA6BA9" w:rsidP="005B669C">
      <w:pPr>
        <w:rPr>
          <w:rFonts w:cs="Arial"/>
          <w:b/>
        </w:rPr>
      </w:pPr>
    </w:p>
    <w:p w:rsidR="00AA6BA9" w:rsidRPr="00AA6BA9" w:rsidRDefault="00AA6BA9" w:rsidP="00AA6BA9">
      <w:pPr>
        <w:rPr>
          <w:rFonts w:cs="Arial"/>
        </w:rPr>
      </w:pPr>
      <w:r w:rsidRPr="00AA6BA9">
        <w:rPr>
          <w:rFonts w:cs="Arial"/>
        </w:rPr>
        <w:t xml:space="preserve">Dr Allan Green is Deputy Chief of CSIRO Plant Industry in Canberra, Australia.  His background is in plant breeding and genetics, and his main research activities have been in the genetic modification of fatty acid composition in oilseed crops to provide improved nutritional value, enhanced functionality, and novel industrial end uses.  He was the founder and leader of the CSIRO plant oil modification research group that has developed and applied conventional and transgenic techniques of biosynthetic pathway manipulation to develop novel oil compositions in canola, cottonseed, linseed and safflower.  These include significant reductions in levels of saturates and polyunsaturates to create stable high-oleic cooking oils, and the incorporation of the long-chain PUFAs, EPA and DHA, into seed oils. His current research is focussed on the introduction of new metabolic pathways into oilseeds to develop renewable plant sources of industrial fatty acids to support the emerging bio-based chemicals and materials sectors.  </w:t>
      </w:r>
    </w:p>
    <w:p w:rsidR="00AA6BA9" w:rsidRPr="00AA6BA9" w:rsidRDefault="00AA6BA9" w:rsidP="00AA6BA9">
      <w:pPr>
        <w:rPr>
          <w:rFonts w:cs="Arial"/>
          <w:b/>
        </w:rPr>
      </w:pPr>
    </w:p>
    <w:p w:rsidR="005B669C" w:rsidRPr="001F2BB2" w:rsidRDefault="005B669C" w:rsidP="005B669C">
      <w:pPr>
        <w:rPr>
          <w:rFonts w:cs="Arial"/>
          <w:u w:val="single"/>
        </w:rPr>
      </w:pPr>
      <w:r w:rsidRPr="001F2BB2">
        <w:rPr>
          <w:rFonts w:cs="Arial"/>
          <w:u w:val="single"/>
        </w:rPr>
        <w:t>Dr Roger Hellens</w:t>
      </w:r>
    </w:p>
    <w:p w:rsidR="005B669C" w:rsidRDefault="005B669C" w:rsidP="005B669C">
      <w:pPr>
        <w:rPr>
          <w:rFonts w:cs="Arial"/>
          <w:b/>
        </w:rPr>
      </w:pPr>
    </w:p>
    <w:p w:rsidR="001F2BB2" w:rsidRPr="001F2BB2" w:rsidRDefault="001F2BB2" w:rsidP="001F2BB2">
      <w:pPr>
        <w:autoSpaceDE w:val="0"/>
        <w:autoSpaceDN w:val="0"/>
        <w:rPr>
          <w:color w:val="000000"/>
          <w:lang w:val="en-NZ"/>
        </w:rPr>
      </w:pPr>
      <w:r>
        <w:rPr>
          <w:color w:val="000000"/>
          <w:lang w:val="en-NZ"/>
        </w:rPr>
        <w:t xml:space="preserve">Dr Roger Hellens is the Science Group Leader of Genomics at </w:t>
      </w:r>
      <w:r w:rsidR="005A5E7E">
        <w:rPr>
          <w:color w:val="000000"/>
          <w:lang w:val="en-NZ"/>
        </w:rPr>
        <w:t xml:space="preserve">the </w:t>
      </w:r>
      <w:r w:rsidR="005A5E7E">
        <w:t xml:space="preserve">New Zealand Institute for Plant and Food Research (PFR) </w:t>
      </w:r>
      <w:r>
        <w:rPr>
          <w:color w:val="000000"/>
          <w:lang w:val="en-NZ"/>
        </w:rPr>
        <w:t xml:space="preserve">and Associate Professor at the University of Otago, New Zealand. The Genomics Group at PFR is comprised of over 80 scientists focused on the genetic basis of production and consumer-driven traits in fruit and vegetables. The Genomics Group works closely with the Breeding Technology and crop-focused Breeding Groups to accelerate the development of premium plant varieties as whole foods and ingredients. Prior to joining </w:t>
      </w:r>
      <w:r w:rsidR="005A5E7E">
        <w:rPr>
          <w:color w:val="000000"/>
          <w:lang w:val="en-NZ"/>
        </w:rPr>
        <w:t>PFR</w:t>
      </w:r>
      <w:r>
        <w:rPr>
          <w:color w:val="000000"/>
          <w:lang w:val="en-NZ"/>
        </w:rPr>
        <w:t xml:space="preserve"> in 2001 Dr Hellens gained his PhD and worked at the John Innes Centre, Norwich, U</w:t>
      </w:r>
      <w:r w:rsidR="005A5E7E">
        <w:rPr>
          <w:color w:val="000000"/>
          <w:lang w:val="en-NZ"/>
        </w:rPr>
        <w:t xml:space="preserve">nited </w:t>
      </w:r>
      <w:r>
        <w:rPr>
          <w:color w:val="000000"/>
          <w:lang w:val="en-NZ"/>
        </w:rPr>
        <w:t>K</w:t>
      </w:r>
      <w:r w:rsidR="005A5E7E">
        <w:rPr>
          <w:color w:val="000000"/>
          <w:lang w:val="en-NZ"/>
        </w:rPr>
        <w:t>ingdom</w:t>
      </w:r>
      <w:r>
        <w:rPr>
          <w:color w:val="000000"/>
          <w:lang w:val="en-NZ"/>
        </w:rPr>
        <w:t>, where he worked on transcriptional and post transcriptional gene regulation and the development of research tools for plant genomics research.</w:t>
      </w:r>
    </w:p>
    <w:p w:rsidR="001F2BB2" w:rsidRPr="00F45366" w:rsidRDefault="001F2BB2" w:rsidP="005B669C">
      <w:pPr>
        <w:rPr>
          <w:rFonts w:cs="Arial"/>
          <w:b/>
        </w:rPr>
      </w:pPr>
    </w:p>
    <w:p w:rsidR="005B669C" w:rsidRPr="001F2BB2" w:rsidRDefault="005B669C" w:rsidP="005B669C">
      <w:pPr>
        <w:rPr>
          <w:rFonts w:cs="Arial"/>
          <w:u w:val="single"/>
        </w:rPr>
      </w:pPr>
      <w:r w:rsidRPr="001F2BB2">
        <w:rPr>
          <w:rFonts w:cs="Arial"/>
          <w:u w:val="single"/>
        </w:rPr>
        <w:t>Dr Lisa Kelly</w:t>
      </w:r>
    </w:p>
    <w:p w:rsidR="005B669C" w:rsidRPr="00F45366" w:rsidRDefault="005B669C" w:rsidP="005B669C">
      <w:pPr>
        <w:rPr>
          <w:rFonts w:cs="Arial"/>
        </w:rPr>
      </w:pPr>
    </w:p>
    <w:p w:rsidR="005B669C" w:rsidRPr="00F45366" w:rsidRDefault="005B669C" w:rsidP="005B669C">
      <w:pPr>
        <w:rPr>
          <w:rFonts w:cs="Arial"/>
        </w:rPr>
      </w:pPr>
      <w:r w:rsidRPr="00F45366">
        <w:rPr>
          <w:rFonts w:cs="Arial"/>
        </w:rPr>
        <w:t xml:space="preserve">Dr Kelly is a Principal Scientist in the Risk Assessment – Chemical Safety </w:t>
      </w:r>
      <w:r w:rsidR="002C4DD8">
        <w:rPr>
          <w:rFonts w:cs="Arial"/>
        </w:rPr>
        <w:t xml:space="preserve">and Nutrition </w:t>
      </w:r>
      <w:r w:rsidRPr="00F45366">
        <w:rPr>
          <w:rFonts w:cs="Arial"/>
        </w:rPr>
        <w:t xml:space="preserve">Section of Food Standards Australia New Zealand (FSANZ).  </w:t>
      </w:r>
      <w:r w:rsidR="00D33ECE">
        <w:rPr>
          <w:rFonts w:cs="Arial"/>
        </w:rPr>
        <w:t>Her</w:t>
      </w:r>
      <w:r w:rsidRPr="00F45366">
        <w:rPr>
          <w:rFonts w:cs="Arial"/>
        </w:rPr>
        <w:t xml:space="preserve"> primary area of expertise is in the safety assessment of GM foods, and she also has experience in assessing the safety of chemicals in food (food additives, contaminants, nutrients).</w:t>
      </w:r>
    </w:p>
    <w:p w:rsidR="005B669C" w:rsidRPr="00F45366" w:rsidRDefault="005B669C" w:rsidP="005B669C">
      <w:pPr>
        <w:spacing w:line="240" w:lineRule="atLeast"/>
        <w:rPr>
          <w:rFonts w:cs="Arial"/>
        </w:rPr>
      </w:pPr>
    </w:p>
    <w:p w:rsidR="005B669C" w:rsidRPr="00F45366" w:rsidRDefault="002C4DD8" w:rsidP="005B669C">
      <w:pPr>
        <w:spacing w:line="240" w:lineRule="atLeast"/>
        <w:rPr>
          <w:rFonts w:cs="Arial"/>
        </w:rPr>
      </w:pPr>
      <w:r>
        <w:rPr>
          <w:rFonts w:cs="Arial"/>
        </w:rPr>
        <w:t>Dr Kelly</w:t>
      </w:r>
      <w:r w:rsidR="005B669C" w:rsidRPr="00F45366">
        <w:rPr>
          <w:rFonts w:cs="Arial"/>
        </w:rPr>
        <w:t xml:space="preserve"> has considerable international experience in the GM food area - she c</w:t>
      </w:r>
      <w:r w:rsidR="005B669C" w:rsidRPr="00F45366">
        <w:rPr>
          <w:rFonts w:eastAsia="SimSun" w:cs="Arial"/>
        </w:rPr>
        <w:t xml:space="preserve">haired the OECD Task Force for the Safety of Novel Foods and Feeds from 2003 – 2009 and also led the Australian delegation to the </w:t>
      </w:r>
      <w:r w:rsidR="005B669C" w:rsidRPr="00F45366">
        <w:rPr>
          <w:rFonts w:cs="Arial"/>
        </w:rPr>
        <w:t>Codex Ad Hoc Intergovernmental Task Force on Foods Derived from Biotechnology, where Australia led the development of a new Codex guideline for the safety assessment of food derived from GM animals</w:t>
      </w:r>
      <w:r w:rsidR="005B669C" w:rsidRPr="00F45366">
        <w:rPr>
          <w:rFonts w:eastAsia="SimSun" w:cs="Arial"/>
        </w:rPr>
        <w:t xml:space="preserve">.  </w:t>
      </w:r>
      <w:r w:rsidR="00D33ECE">
        <w:rPr>
          <w:rFonts w:cs="Arial"/>
        </w:rPr>
        <w:t>She</w:t>
      </w:r>
      <w:r w:rsidR="005B669C" w:rsidRPr="00F45366">
        <w:rPr>
          <w:rFonts w:cs="Arial"/>
        </w:rPr>
        <w:t xml:space="preserve"> is also a member of the FAO/WHO Expert Panel on Biotechnology and Food Safety and has participated in two FAO/WHO expert consultations on GM animals.</w:t>
      </w:r>
    </w:p>
    <w:p w:rsidR="005B669C" w:rsidRPr="00F45366" w:rsidRDefault="005B669C" w:rsidP="005B669C">
      <w:pPr>
        <w:spacing w:line="240" w:lineRule="atLeast"/>
        <w:rPr>
          <w:rFonts w:cs="Arial"/>
        </w:rPr>
      </w:pPr>
    </w:p>
    <w:p w:rsidR="005B669C" w:rsidRPr="00F45366" w:rsidRDefault="002C4DD8" w:rsidP="005B669C">
      <w:pPr>
        <w:spacing w:line="240" w:lineRule="atLeast"/>
        <w:rPr>
          <w:rFonts w:cs="Arial"/>
        </w:rPr>
      </w:pPr>
      <w:r>
        <w:rPr>
          <w:rFonts w:cs="Arial"/>
        </w:rPr>
        <w:t>Dr Kelly</w:t>
      </w:r>
      <w:r w:rsidR="005B669C" w:rsidRPr="00F45366">
        <w:rPr>
          <w:rFonts w:cs="Arial"/>
        </w:rPr>
        <w:t xml:space="preserve"> received a PhD in molecular plant virology from the Australian National University in 1994 and undertook post-graduate research in plant biotechnology and recombinant antibody technology at CSIRO Plant Industry up until 1997, when she joined FSANZ. </w:t>
      </w:r>
      <w:r>
        <w:rPr>
          <w:rFonts w:cs="Arial"/>
        </w:rPr>
        <w:t>Dr Kelly</w:t>
      </w:r>
      <w:r w:rsidR="005B669C" w:rsidRPr="00F45366">
        <w:rPr>
          <w:rFonts w:cs="Arial"/>
        </w:rPr>
        <w:t xml:space="preserve"> is currently the GM team leader at FSANZ.</w:t>
      </w:r>
    </w:p>
    <w:p w:rsidR="005B669C" w:rsidRPr="00F45366" w:rsidRDefault="005B669C" w:rsidP="005B669C">
      <w:pPr>
        <w:rPr>
          <w:rFonts w:cs="Arial"/>
          <w:b/>
        </w:rPr>
      </w:pPr>
    </w:p>
    <w:p w:rsidR="002C4DD8" w:rsidRPr="00CB4FC8" w:rsidRDefault="002C4DD8" w:rsidP="002C4DD8">
      <w:pPr>
        <w:rPr>
          <w:rFonts w:cs="Arial"/>
          <w:u w:val="single"/>
        </w:rPr>
      </w:pPr>
      <w:r w:rsidRPr="00CB4FC8">
        <w:rPr>
          <w:rFonts w:cs="Arial"/>
          <w:u w:val="single"/>
        </w:rPr>
        <w:t>Professor Peter Langridge</w:t>
      </w:r>
    </w:p>
    <w:p w:rsidR="002C4DD8" w:rsidRPr="00F45366" w:rsidRDefault="002C4DD8" w:rsidP="002C4DD8">
      <w:pPr>
        <w:rPr>
          <w:rFonts w:cs="Arial"/>
          <w:lang w:val="en-US"/>
        </w:rPr>
      </w:pPr>
    </w:p>
    <w:p w:rsidR="009937E9" w:rsidRDefault="002C4DD8" w:rsidP="005B669C">
      <w:pPr>
        <w:rPr>
          <w:rFonts w:cs="Arial"/>
        </w:rPr>
      </w:pPr>
      <w:r>
        <w:rPr>
          <w:rFonts w:cs="Arial"/>
          <w:lang w:val="en-US"/>
        </w:rPr>
        <w:t>Professor</w:t>
      </w:r>
      <w:r w:rsidRPr="00F45366">
        <w:rPr>
          <w:rFonts w:cs="Arial"/>
          <w:lang w:val="en-US"/>
        </w:rPr>
        <w:t xml:space="preserve"> Langridge is currently the </w:t>
      </w:r>
      <w:r>
        <w:rPr>
          <w:rFonts w:cs="Arial"/>
          <w:lang w:val="en-US"/>
        </w:rPr>
        <w:t>CEO</w:t>
      </w:r>
      <w:r w:rsidRPr="00F45366">
        <w:rPr>
          <w:rFonts w:cs="Arial"/>
          <w:lang w:val="en-US"/>
        </w:rPr>
        <w:t xml:space="preserve"> and Director of the Australian Centre for Plant Functional Genomics which was established in 2002 through funding from the Australian Research Council, the GRDC and the South Australian Government.  The Centre focuses on tolerance to environmental stresses in wheat and barley.  His research has focused on development and application of molecular biology to crop improvement.  He served for six years on the Genetic Manipulation Advisory Committee and is currently a member of the Gene Technology Technical Advisory Committee of the Office of the Gene Technology Regulator.  He is on the editorial boards of several international journals, member of the Steering Committee of the International Triticeae Mapping Initiative (ITMI) and serves on the Advisory Boards for the European Union BioExpoit </w:t>
      </w:r>
      <w:r w:rsidR="00527BBD">
        <w:rPr>
          <w:rFonts w:cs="Arial"/>
          <w:lang w:val="en-US"/>
        </w:rPr>
        <w:t xml:space="preserve">and TriticeaeGenome </w:t>
      </w:r>
      <w:r w:rsidRPr="00F45366">
        <w:rPr>
          <w:rFonts w:cs="Arial"/>
          <w:lang w:val="en-US"/>
        </w:rPr>
        <w:t>Program</w:t>
      </w:r>
      <w:r w:rsidR="00527BBD">
        <w:rPr>
          <w:rFonts w:cs="Arial"/>
          <w:lang w:val="en-US"/>
        </w:rPr>
        <w:t>s</w:t>
      </w:r>
      <w:r w:rsidRPr="00F45366">
        <w:rPr>
          <w:rFonts w:cs="Arial"/>
          <w:lang w:val="en-US"/>
        </w:rPr>
        <w:t xml:space="preserve">, </w:t>
      </w:r>
      <w:r w:rsidR="00527BBD">
        <w:rPr>
          <w:rFonts w:cs="Arial"/>
          <w:lang w:val="en-US"/>
        </w:rPr>
        <w:t>the National Science Foundation Wheat D-Genome Program in the USA</w:t>
      </w:r>
      <w:r w:rsidRPr="00F45366">
        <w:rPr>
          <w:rFonts w:cs="Arial"/>
          <w:lang w:val="en-US"/>
        </w:rPr>
        <w:t>, The Generation Challenge Program of the CGIAR</w:t>
      </w:r>
      <w:r w:rsidR="00527BBD">
        <w:rPr>
          <w:rFonts w:cs="Arial"/>
          <w:lang w:val="en-US"/>
        </w:rPr>
        <w:t>,</w:t>
      </w:r>
      <w:r w:rsidRPr="00F45366">
        <w:rPr>
          <w:rFonts w:cs="Arial"/>
          <w:lang w:val="en-US"/>
        </w:rPr>
        <w:t xml:space="preserve"> and the Centre for Integrative Legume Research.</w:t>
      </w:r>
      <w:r w:rsidR="00527BBD">
        <w:rPr>
          <w:rFonts w:cs="Arial"/>
          <w:lang w:val="en-US"/>
        </w:rPr>
        <w:t xml:space="preserve"> In 2010 he chaired Prime Minister’s Science, Engineering and Innovation Council who delivered the report ‘Australian and Food Security in a Changing World’ outlining strategies to address food security globally.</w:t>
      </w:r>
      <w:r w:rsidR="0097148A">
        <w:rPr>
          <w:rFonts w:cs="Arial"/>
          <w:lang w:val="en-US"/>
        </w:rPr>
        <w:t xml:space="preserve"> </w:t>
      </w:r>
      <w:r w:rsidR="00527BBD">
        <w:rPr>
          <w:rFonts w:cs="Arial"/>
          <w:lang w:val="en-US"/>
        </w:rPr>
        <w:t xml:space="preserve">Professor Langridge was recently named South Australia’s 2011 Scientist of the Year. </w:t>
      </w:r>
    </w:p>
    <w:p w:rsidR="009937E9" w:rsidRDefault="009937E9" w:rsidP="005B669C">
      <w:pPr>
        <w:rPr>
          <w:rFonts w:cs="Arial"/>
        </w:rPr>
      </w:pPr>
    </w:p>
    <w:p w:rsidR="008705A9" w:rsidRDefault="008705A9" w:rsidP="005B669C">
      <w:pPr>
        <w:rPr>
          <w:rFonts w:cs="Arial"/>
        </w:rPr>
      </w:pPr>
    </w:p>
    <w:p w:rsidR="00C65664" w:rsidRDefault="00C65664" w:rsidP="005B669C">
      <w:pPr>
        <w:rPr>
          <w:rFonts w:cs="Arial"/>
        </w:rPr>
      </w:pPr>
    </w:p>
    <w:p w:rsidR="00C65664" w:rsidRDefault="00C65664" w:rsidP="005B669C">
      <w:pPr>
        <w:rPr>
          <w:rFonts w:cs="Arial"/>
        </w:rPr>
      </w:pPr>
    </w:p>
    <w:sectPr w:rsidR="00C65664" w:rsidSect="00B1395D">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AAF" w:rsidRDefault="00916AAF" w:rsidP="00BE2117">
      <w:r>
        <w:separator/>
      </w:r>
    </w:p>
  </w:endnote>
  <w:endnote w:type="continuationSeparator" w:id="0">
    <w:p w:rsidR="00916AAF" w:rsidRDefault="00916AAF" w:rsidP="00BE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589136"/>
      <w:docPartObj>
        <w:docPartGallery w:val="Page Numbers (Bottom of Page)"/>
        <w:docPartUnique/>
      </w:docPartObj>
    </w:sdtPr>
    <w:sdtEndPr>
      <w:rPr>
        <w:noProof/>
      </w:rPr>
    </w:sdtEndPr>
    <w:sdtContent>
      <w:p w:rsidR="0091171E" w:rsidRDefault="0091171E">
        <w:pPr>
          <w:pStyle w:val="Footer"/>
          <w:jc w:val="center"/>
        </w:pPr>
        <w:r>
          <w:fldChar w:fldCharType="begin"/>
        </w:r>
        <w:r>
          <w:instrText xml:space="preserve"> PAGE   \* MERGEFORMAT </w:instrText>
        </w:r>
        <w:r>
          <w:fldChar w:fldCharType="separate"/>
        </w:r>
        <w:r w:rsidR="00C86A04">
          <w:rPr>
            <w:noProof/>
          </w:rPr>
          <w:t>2</w:t>
        </w:r>
        <w:r>
          <w:rPr>
            <w:noProof/>
          </w:rPr>
          <w:fldChar w:fldCharType="end"/>
        </w:r>
      </w:p>
    </w:sdtContent>
  </w:sdt>
  <w:p w:rsidR="0091171E" w:rsidRDefault="00911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AAF" w:rsidRDefault="00916AAF" w:rsidP="00BE2117">
      <w:r>
        <w:separator/>
      </w:r>
    </w:p>
  </w:footnote>
  <w:footnote w:type="continuationSeparator" w:id="0">
    <w:p w:rsidR="00916AAF" w:rsidRDefault="00916AAF" w:rsidP="00BE2117">
      <w:r>
        <w:continuationSeparator/>
      </w:r>
    </w:p>
  </w:footnote>
  <w:footnote w:id="1">
    <w:p w:rsidR="0091171E" w:rsidRPr="00B00EC7" w:rsidRDefault="0091171E">
      <w:pPr>
        <w:pStyle w:val="FootnoteText"/>
        <w:rPr>
          <w:lang w:val="en-US"/>
        </w:rPr>
      </w:pPr>
      <w:r>
        <w:rPr>
          <w:rStyle w:val="FootnoteReference"/>
        </w:rPr>
        <w:footnoteRef/>
      </w:r>
      <w:r>
        <w:t xml:space="preserve"> ANZFA (1998) </w:t>
      </w:r>
      <w:r>
        <w:rPr>
          <w:lang w:val="en-US"/>
        </w:rPr>
        <w:t xml:space="preserve">P97 Inquiry Report: Food produced using gene technology. </w:t>
      </w:r>
    </w:p>
  </w:footnote>
  <w:footnote w:id="2">
    <w:p w:rsidR="0091171E" w:rsidRPr="00BE2117" w:rsidRDefault="0091171E">
      <w:pPr>
        <w:pStyle w:val="FootnoteText"/>
        <w:rPr>
          <w:lang w:val="en-US"/>
        </w:rPr>
      </w:pPr>
      <w:r>
        <w:rPr>
          <w:rStyle w:val="FootnoteReference"/>
        </w:rPr>
        <w:footnoteRef/>
      </w:r>
      <w:r>
        <w:t xml:space="preserve"> </w:t>
      </w:r>
      <w:r>
        <w:rPr>
          <w:lang w:val="en-US"/>
        </w:rPr>
        <w:t>Where ‘transgenic’ means containing genes or genetic material transferred from another species</w:t>
      </w:r>
    </w:p>
  </w:footnote>
  <w:footnote w:id="3">
    <w:p w:rsidR="0091171E" w:rsidRPr="008C4B86" w:rsidRDefault="0091171E" w:rsidP="008C4B86">
      <w:pPr>
        <w:pStyle w:val="FootnoteText"/>
        <w:ind w:left="0" w:firstLine="0"/>
        <w:rPr>
          <w:lang w:val="en-US"/>
        </w:rPr>
      </w:pPr>
      <w:r>
        <w:rPr>
          <w:rStyle w:val="FootnoteReference"/>
        </w:rPr>
        <w:footnoteRef/>
      </w:r>
      <w:r>
        <w:t xml:space="preserve"> </w:t>
      </w:r>
      <w:r>
        <w:rPr>
          <w:lang w:val="en-US"/>
        </w:rPr>
        <w:t xml:space="preserve">It is noted that the occurrence of unintended effects is an inherent and general phenomenon that can also occur in conventional breeding. Such effects, should they occur, do not necessarily give rise to food safety concerns. </w:t>
      </w:r>
    </w:p>
  </w:footnote>
  <w:footnote w:id="4">
    <w:p w:rsidR="0091171E" w:rsidRPr="00644899" w:rsidRDefault="0091171E">
      <w:pPr>
        <w:pStyle w:val="FootnoteText"/>
        <w:rPr>
          <w:lang w:val="en-US"/>
        </w:rPr>
      </w:pPr>
      <w:r>
        <w:rPr>
          <w:rStyle w:val="FootnoteReference"/>
        </w:rPr>
        <w:footnoteRef/>
      </w:r>
      <w:r>
        <w:t xml:space="preserve"> Some plants may escape detasseling or new tassels may</w:t>
      </w:r>
      <w:r w:rsidRPr="00FF5916">
        <w:t xml:space="preserve"> </w:t>
      </w:r>
      <w:r>
        <w:t>emerge after the detasseling process.</w:t>
      </w:r>
    </w:p>
  </w:footnote>
  <w:footnote w:id="5">
    <w:p w:rsidR="0091171E" w:rsidRPr="00663380" w:rsidRDefault="0091171E">
      <w:pPr>
        <w:pStyle w:val="FootnoteText"/>
        <w:rPr>
          <w:lang w:val="en-US"/>
        </w:rPr>
      </w:pPr>
      <w:r>
        <w:rPr>
          <w:rStyle w:val="FootnoteReference"/>
        </w:rPr>
        <w:footnoteRef/>
      </w:r>
      <w:r>
        <w:t xml:space="preserve"> immature pollen grains</w:t>
      </w:r>
    </w:p>
  </w:footnote>
  <w:footnote w:id="6">
    <w:p w:rsidR="0091171E" w:rsidRPr="003D3D51" w:rsidRDefault="0091171E" w:rsidP="00085EC7">
      <w:pPr>
        <w:pStyle w:val="FootnoteText"/>
        <w:rPr>
          <w:lang w:val="en-US"/>
        </w:rPr>
      </w:pPr>
      <w:r>
        <w:rPr>
          <w:rStyle w:val="FootnoteReference"/>
        </w:rPr>
        <w:footnoteRef/>
      </w:r>
      <w:r>
        <w:t xml:space="preserve"> </w:t>
      </w:r>
      <w:r>
        <w:rPr>
          <w:lang w:val="en-US"/>
        </w:rPr>
        <w:t>an abnormal number of chromosomes</w:t>
      </w:r>
    </w:p>
  </w:footnote>
  <w:footnote w:id="7">
    <w:p w:rsidR="0091171E" w:rsidRPr="001B768F" w:rsidRDefault="0091171E" w:rsidP="001B768F">
      <w:pPr>
        <w:pStyle w:val="FootnoteText"/>
        <w:ind w:left="0" w:firstLine="0"/>
        <w:rPr>
          <w:lang w:val="en-US"/>
        </w:rPr>
      </w:pPr>
      <w:r>
        <w:rPr>
          <w:rStyle w:val="FootnoteReference"/>
        </w:rPr>
        <w:footnoteRef/>
      </w:r>
      <w:r>
        <w:t xml:space="preserve"> </w:t>
      </w:r>
      <w:r>
        <w:rPr>
          <w:lang w:val="en-US"/>
        </w:rPr>
        <w:t xml:space="preserve">Linkage drag refers to the phenomenon where other (potentially undesirable) alleles are linked to a desired gene and are incorporated when that gene is introgressed into the genome of a recipient line. </w:t>
      </w:r>
    </w:p>
  </w:footnote>
  <w:footnote w:id="8">
    <w:p w:rsidR="0091171E" w:rsidRPr="0054382D" w:rsidRDefault="0091171E">
      <w:pPr>
        <w:pStyle w:val="FootnoteText"/>
        <w:rPr>
          <w:lang w:val="en-US"/>
        </w:rPr>
      </w:pPr>
      <w:r>
        <w:rPr>
          <w:rStyle w:val="FootnoteReference"/>
        </w:rPr>
        <w:footnoteRef/>
      </w:r>
      <w:r>
        <w:t xml:space="preserve"> </w:t>
      </w:r>
      <w:r w:rsidRPr="00FA2EF1">
        <w:rPr>
          <w:rFonts w:cs="Arial"/>
        </w:rPr>
        <w:t xml:space="preserve">Vanblaene et al </w:t>
      </w:r>
      <w:r>
        <w:rPr>
          <w:rFonts w:cs="Arial"/>
        </w:rPr>
        <w:t>(</w:t>
      </w:r>
      <w:r w:rsidRPr="00FA2EF1">
        <w:rPr>
          <w:rFonts w:cs="Arial"/>
        </w:rPr>
        <w:t>2011</w:t>
      </w:r>
      <w:r>
        <w:rPr>
          <w:rFonts w:cs="Arial"/>
        </w:rPr>
        <w:t>) The development of a cisgenic apple plant. J. Biotech. 154: 304-311</w:t>
      </w:r>
    </w:p>
  </w:footnote>
  <w:footnote w:id="9">
    <w:p w:rsidR="0091171E" w:rsidRPr="00B92A96" w:rsidRDefault="0091171E">
      <w:pPr>
        <w:pStyle w:val="FootnoteText"/>
        <w:rPr>
          <w:lang w:val="en-US"/>
        </w:rPr>
      </w:pPr>
      <w:r>
        <w:rPr>
          <w:rStyle w:val="FootnoteReference"/>
        </w:rPr>
        <w:footnoteRef/>
      </w:r>
      <w:r>
        <w:t xml:space="preserve"> EFSA Journal 2012; 10(2): 2561.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8E" w:rsidRPr="00632E8E" w:rsidRDefault="00632E8E" w:rsidP="00632E8E">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32"/>
    <w:multiLevelType w:val="hybridMultilevel"/>
    <w:tmpl w:val="3C7E181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2D13A7B"/>
    <w:multiLevelType w:val="hybridMultilevel"/>
    <w:tmpl w:val="84228516"/>
    <w:lvl w:ilvl="0" w:tplc="F0604DD0">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855CDD"/>
    <w:multiLevelType w:val="hybridMultilevel"/>
    <w:tmpl w:val="A1A25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FC7309"/>
    <w:multiLevelType w:val="hybridMultilevel"/>
    <w:tmpl w:val="A3CE8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9121DB"/>
    <w:multiLevelType w:val="hybridMultilevel"/>
    <w:tmpl w:val="304EB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2F04788"/>
    <w:multiLevelType w:val="hybridMultilevel"/>
    <w:tmpl w:val="F83A6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F75145"/>
    <w:multiLevelType w:val="hybridMultilevel"/>
    <w:tmpl w:val="B732A7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B193316"/>
    <w:multiLevelType w:val="hybridMultilevel"/>
    <w:tmpl w:val="9620B70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A64C72"/>
    <w:multiLevelType w:val="hybridMultilevel"/>
    <w:tmpl w:val="04740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45C5D42"/>
    <w:multiLevelType w:val="hybridMultilevel"/>
    <w:tmpl w:val="E7542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87D4071"/>
    <w:multiLevelType w:val="hybridMultilevel"/>
    <w:tmpl w:val="E2BAB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44C2F38"/>
    <w:multiLevelType w:val="hybridMultilevel"/>
    <w:tmpl w:val="5EF07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9845FF"/>
    <w:multiLevelType w:val="hybridMultilevel"/>
    <w:tmpl w:val="142AD2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DC6C4B"/>
    <w:multiLevelType w:val="hybridMultilevel"/>
    <w:tmpl w:val="7D3E1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25C2759"/>
    <w:multiLevelType w:val="hybridMultilevel"/>
    <w:tmpl w:val="6532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AC4612"/>
    <w:multiLevelType w:val="hybridMultilevel"/>
    <w:tmpl w:val="D0A86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545319"/>
    <w:multiLevelType w:val="hybridMultilevel"/>
    <w:tmpl w:val="EED88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nsid w:val="71FA542D"/>
    <w:multiLevelType w:val="hybridMultilevel"/>
    <w:tmpl w:val="F6826C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A130A38"/>
    <w:multiLevelType w:val="hybridMultilevel"/>
    <w:tmpl w:val="3BAA7306"/>
    <w:lvl w:ilvl="0" w:tplc="828EFE60">
      <w:start w:val="1"/>
      <w:numFmt w:val="decimal"/>
      <w:lvlText w:val="%1."/>
      <w:lvlJc w:val="left"/>
      <w:pPr>
        <w:ind w:left="360" w:hanging="360"/>
      </w:pPr>
      <w:rPr>
        <w:rFonts w:cs="Arial"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D3C426A"/>
    <w:multiLevelType w:val="hybridMultilevel"/>
    <w:tmpl w:val="179E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3"/>
  </w:num>
  <w:num w:numId="4">
    <w:abstractNumId w:val="20"/>
  </w:num>
  <w:num w:numId="5">
    <w:abstractNumId w:val="9"/>
  </w:num>
  <w:num w:numId="6">
    <w:abstractNumId w:val="18"/>
  </w:num>
  <w:num w:numId="7">
    <w:abstractNumId w:val="0"/>
  </w:num>
  <w:num w:numId="8">
    <w:abstractNumId w:val="16"/>
  </w:num>
  <w:num w:numId="9">
    <w:abstractNumId w:val="7"/>
  </w:num>
  <w:num w:numId="10">
    <w:abstractNumId w:val="12"/>
  </w:num>
  <w:num w:numId="11">
    <w:abstractNumId w:val="6"/>
  </w:num>
  <w:num w:numId="12">
    <w:abstractNumId w:val="10"/>
  </w:num>
  <w:num w:numId="13">
    <w:abstractNumId w:val="1"/>
  </w:num>
  <w:num w:numId="14">
    <w:abstractNumId w:val="17"/>
  </w:num>
  <w:num w:numId="15">
    <w:abstractNumId w:val="3"/>
  </w:num>
  <w:num w:numId="16">
    <w:abstractNumId w:val="8"/>
  </w:num>
  <w:num w:numId="17">
    <w:abstractNumId w:val="15"/>
  </w:num>
  <w:num w:numId="18">
    <w:abstractNumId w:val="2"/>
  </w:num>
  <w:num w:numId="19">
    <w:abstractNumId w:val="5"/>
  </w:num>
  <w:num w:numId="20">
    <w:abstractNumId w:val="14"/>
  </w:num>
  <w:num w:numId="21">
    <w:abstractNumId w:val="22"/>
  </w:num>
  <w:num w:numId="22">
    <w:abstractNumId w:val="4"/>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37"/>
    <w:rsid w:val="000000C9"/>
    <w:rsid w:val="00003CA9"/>
    <w:rsid w:val="00004DF1"/>
    <w:rsid w:val="000061A7"/>
    <w:rsid w:val="00006237"/>
    <w:rsid w:val="0000762F"/>
    <w:rsid w:val="00007C1E"/>
    <w:rsid w:val="0001083A"/>
    <w:rsid w:val="00016709"/>
    <w:rsid w:val="00016F08"/>
    <w:rsid w:val="00020D01"/>
    <w:rsid w:val="00021041"/>
    <w:rsid w:val="00021541"/>
    <w:rsid w:val="000221B7"/>
    <w:rsid w:val="00022A50"/>
    <w:rsid w:val="00022DFD"/>
    <w:rsid w:val="00025A11"/>
    <w:rsid w:val="00026B1F"/>
    <w:rsid w:val="000306EC"/>
    <w:rsid w:val="00030E16"/>
    <w:rsid w:val="00034289"/>
    <w:rsid w:val="00034E92"/>
    <w:rsid w:val="00037DD2"/>
    <w:rsid w:val="000400C2"/>
    <w:rsid w:val="00041643"/>
    <w:rsid w:val="00042162"/>
    <w:rsid w:val="00042F79"/>
    <w:rsid w:val="00044D5E"/>
    <w:rsid w:val="00051410"/>
    <w:rsid w:val="00051608"/>
    <w:rsid w:val="00052B1A"/>
    <w:rsid w:val="0005707E"/>
    <w:rsid w:val="000608D5"/>
    <w:rsid w:val="0006137B"/>
    <w:rsid w:val="00062CF9"/>
    <w:rsid w:val="0006460A"/>
    <w:rsid w:val="00066769"/>
    <w:rsid w:val="00067E8B"/>
    <w:rsid w:val="0007096E"/>
    <w:rsid w:val="00071503"/>
    <w:rsid w:val="00071F7F"/>
    <w:rsid w:val="0007314F"/>
    <w:rsid w:val="0007366F"/>
    <w:rsid w:val="000742ED"/>
    <w:rsid w:val="00074E39"/>
    <w:rsid w:val="00080C51"/>
    <w:rsid w:val="000818FE"/>
    <w:rsid w:val="0008276B"/>
    <w:rsid w:val="000828B0"/>
    <w:rsid w:val="00083659"/>
    <w:rsid w:val="00085DEC"/>
    <w:rsid w:val="00085EC7"/>
    <w:rsid w:val="000863D0"/>
    <w:rsid w:val="00086718"/>
    <w:rsid w:val="00087633"/>
    <w:rsid w:val="00090194"/>
    <w:rsid w:val="00094FDA"/>
    <w:rsid w:val="000962A4"/>
    <w:rsid w:val="000978AF"/>
    <w:rsid w:val="000A4D1D"/>
    <w:rsid w:val="000A61C8"/>
    <w:rsid w:val="000B02B6"/>
    <w:rsid w:val="000B1016"/>
    <w:rsid w:val="000B2843"/>
    <w:rsid w:val="000B2ABB"/>
    <w:rsid w:val="000B3A7E"/>
    <w:rsid w:val="000B5BAC"/>
    <w:rsid w:val="000B7FCF"/>
    <w:rsid w:val="000C033D"/>
    <w:rsid w:val="000C0BDB"/>
    <w:rsid w:val="000C1607"/>
    <w:rsid w:val="000C3C4B"/>
    <w:rsid w:val="000C3D14"/>
    <w:rsid w:val="000D2D53"/>
    <w:rsid w:val="000D3AEB"/>
    <w:rsid w:val="000D5FAC"/>
    <w:rsid w:val="000E0A85"/>
    <w:rsid w:val="000E0B65"/>
    <w:rsid w:val="000E32A6"/>
    <w:rsid w:val="000E334C"/>
    <w:rsid w:val="000E4615"/>
    <w:rsid w:val="000E7532"/>
    <w:rsid w:val="000F0F53"/>
    <w:rsid w:val="000F1D8F"/>
    <w:rsid w:val="000F3140"/>
    <w:rsid w:val="000F3370"/>
    <w:rsid w:val="000F3C99"/>
    <w:rsid w:val="000F4149"/>
    <w:rsid w:val="000F53A8"/>
    <w:rsid w:val="000F6FCD"/>
    <w:rsid w:val="001012E4"/>
    <w:rsid w:val="0010130C"/>
    <w:rsid w:val="0010207C"/>
    <w:rsid w:val="00104F8F"/>
    <w:rsid w:val="001068E8"/>
    <w:rsid w:val="00106F02"/>
    <w:rsid w:val="00107D0F"/>
    <w:rsid w:val="001110C1"/>
    <w:rsid w:val="001116DE"/>
    <w:rsid w:val="00116D47"/>
    <w:rsid w:val="00117FBA"/>
    <w:rsid w:val="00123455"/>
    <w:rsid w:val="001247E8"/>
    <w:rsid w:val="00124DC4"/>
    <w:rsid w:val="001262D6"/>
    <w:rsid w:val="00127A7D"/>
    <w:rsid w:val="00130CFB"/>
    <w:rsid w:val="00130F30"/>
    <w:rsid w:val="00132015"/>
    <w:rsid w:val="0013279E"/>
    <w:rsid w:val="00133CF6"/>
    <w:rsid w:val="00133FC5"/>
    <w:rsid w:val="00135695"/>
    <w:rsid w:val="00135816"/>
    <w:rsid w:val="00135FB5"/>
    <w:rsid w:val="00140678"/>
    <w:rsid w:val="00140E1E"/>
    <w:rsid w:val="0014251A"/>
    <w:rsid w:val="00150D95"/>
    <w:rsid w:val="0015338C"/>
    <w:rsid w:val="001562B8"/>
    <w:rsid w:val="00156B26"/>
    <w:rsid w:val="00157F7B"/>
    <w:rsid w:val="001607EF"/>
    <w:rsid w:val="00161D4A"/>
    <w:rsid w:val="00162CF1"/>
    <w:rsid w:val="00162E6A"/>
    <w:rsid w:val="00165CBD"/>
    <w:rsid w:val="001701E8"/>
    <w:rsid w:val="001702DF"/>
    <w:rsid w:val="00170E82"/>
    <w:rsid w:val="001715B5"/>
    <w:rsid w:val="001734FF"/>
    <w:rsid w:val="0017584A"/>
    <w:rsid w:val="0019039C"/>
    <w:rsid w:val="00190D9E"/>
    <w:rsid w:val="001A1607"/>
    <w:rsid w:val="001A2414"/>
    <w:rsid w:val="001A3078"/>
    <w:rsid w:val="001B0979"/>
    <w:rsid w:val="001B12E5"/>
    <w:rsid w:val="001B338C"/>
    <w:rsid w:val="001B4179"/>
    <w:rsid w:val="001B4906"/>
    <w:rsid w:val="001B5835"/>
    <w:rsid w:val="001B6227"/>
    <w:rsid w:val="001B768F"/>
    <w:rsid w:val="001C1717"/>
    <w:rsid w:val="001C34ED"/>
    <w:rsid w:val="001C3B27"/>
    <w:rsid w:val="001C7FE7"/>
    <w:rsid w:val="001D0D29"/>
    <w:rsid w:val="001E2303"/>
    <w:rsid w:val="001E4BAC"/>
    <w:rsid w:val="001E696B"/>
    <w:rsid w:val="001F1E00"/>
    <w:rsid w:val="001F1E96"/>
    <w:rsid w:val="001F25C4"/>
    <w:rsid w:val="001F27CE"/>
    <w:rsid w:val="001F2BB2"/>
    <w:rsid w:val="001F634A"/>
    <w:rsid w:val="001F7F3B"/>
    <w:rsid w:val="00205732"/>
    <w:rsid w:val="002058B3"/>
    <w:rsid w:val="00206DD9"/>
    <w:rsid w:val="00207E3A"/>
    <w:rsid w:val="002123C0"/>
    <w:rsid w:val="0021326E"/>
    <w:rsid w:val="00213495"/>
    <w:rsid w:val="00215DD8"/>
    <w:rsid w:val="002162E3"/>
    <w:rsid w:val="002169B6"/>
    <w:rsid w:val="0021758B"/>
    <w:rsid w:val="00223026"/>
    <w:rsid w:val="002233E7"/>
    <w:rsid w:val="00224BFC"/>
    <w:rsid w:val="00227908"/>
    <w:rsid w:val="0023175B"/>
    <w:rsid w:val="00233E7E"/>
    <w:rsid w:val="002370E8"/>
    <w:rsid w:val="00240557"/>
    <w:rsid w:val="0024070C"/>
    <w:rsid w:val="00241535"/>
    <w:rsid w:val="002417FE"/>
    <w:rsid w:val="002444A9"/>
    <w:rsid w:val="00251004"/>
    <w:rsid w:val="00253531"/>
    <w:rsid w:val="0025423F"/>
    <w:rsid w:val="00255299"/>
    <w:rsid w:val="00255A45"/>
    <w:rsid w:val="00255E65"/>
    <w:rsid w:val="0025667C"/>
    <w:rsid w:val="00266888"/>
    <w:rsid w:val="00276077"/>
    <w:rsid w:val="00277C4A"/>
    <w:rsid w:val="002831AF"/>
    <w:rsid w:val="002832A5"/>
    <w:rsid w:val="00286A4D"/>
    <w:rsid w:val="002906B5"/>
    <w:rsid w:val="00290C69"/>
    <w:rsid w:val="00292630"/>
    <w:rsid w:val="00294776"/>
    <w:rsid w:val="00295AF0"/>
    <w:rsid w:val="00297EDA"/>
    <w:rsid w:val="002B0B4A"/>
    <w:rsid w:val="002B1824"/>
    <w:rsid w:val="002B28CC"/>
    <w:rsid w:val="002C4DD8"/>
    <w:rsid w:val="002C7673"/>
    <w:rsid w:val="002D02E8"/>
    <w:rsid w:val="002D0603"/>
    <w:rsid w:val="002D1600"/>
    <w:rsid w:val="002D3697"/>
    <w:rsid w:val="002D3DFC"/>
    <w:rsid w:val="002D4B09"/>
    <w:rsid w:val="002D546A"/>
    <w:rsid w:val="002D6548"/>
    <w:rsid w:val="002D658F"/>
    <w:rsid w:val="002E27D1"/>
    <w:rsid w:val="002E57A5"/>
    <w:rsid w:val="002E76A0"/>
    <w:rsid w:val="002F033A"/>
    <w:rsid w:val="002F3370"/>
    <w:rsid w:val="002F3B2A"/>
    <w:rsid w:val="002F4B18"/>
    <w:rsid w:val="002F580F"/>
    <w:rsid w:val="00301326"/>
    <w:rsid w:val="00301523"/>
    <w:rsid w:val="003031C7"/>
    <w:rsid w:val="0030356B"/>
    <w:rsid w:val="003055F7"/>
    <w:rsid w:val="003068E7"/>
    <w:rsid w:val="003103C1"/>
    <w:rsid w:val="003208F5"/>
    <w:rsid w:val="00322D99"/>
    <w:rsid w:val="00324DB3"/>
    <w:rsid w:val="00327F9B"/>
    <w:rsid w:val="003328A9"/>
    <w:rsid w:val="00333897"/>
    <w:rsid w:val="00334049"/>
    <w:rsid w:val="0033597F"/>
    <w:rsid w:val="00336727"/>
    <w:rsid w:val="00337FF9"/>
    <w:rsid w:val="00343A7B"/>
    <w:rsid w:val="0034588D"/>
    <w:rsid w:val="00351075"/>
    <w:rsid w:val="00353C72"/>
    <w:rsid w:val="00353ECC"/>
    <w:rsid w:val="00354FE4"/>
    <w:rsid w:val="003563C3"/>
    <w:rsid w:val="00361D71"/>
    <w:rsid w:val="00361DE3"/>
    <w:rsid w:val="00364C85"/>
    <w:rsid w:val="00366060"/>
    <w:rsid w:val="00373714"/>
    <w:rsid w:val="00373A2C"/>
    <w:rsid w:val="0037400A"/>
    <w:rsid w:val="00376C9D"/>
    <w:rsid w:val="00377BA1"/>
    <w:rsid w:val="003817DA"/>
    <w:rsid w:val="00381C2C"/>
    <w:rsid w:val="00381C51"/>
    <w:rsid w:val="003832EA"/>
    <w:rsid w:val="0038421A"/>
    <w:rsid w:val="00384744"/>
    <w:rsid w:val="00385CBB"/>
    <w:rsid w:val="00392452"/>
    <w:rsid w:val="00395CAA"/>
    <w:rsid w:val="00396DD0"/>
    <w:rsid w:val="003A20F6"/>
    <w:rsid w:val="003A2848"/>
    <w:rsid w:val="003A2A7D"/>
    <w:rsid w:val="003A3086"/>
    <w:rsid w:val="003A43F4"/>
    <w:rsid w:val="003B1079"/>
    <w:rsid w:val="003B180A"/>
    <w:rsid w:val="003B32ED"/>
    <w:rsid w:val="003B3BFD"/>
    <w:rsid w:val="003B5C4A"/>
    <w:rsid w:val="003B661C"/>
    <w:rsid w:val="003C1282"/>
    <w:rsid w:val="003C1380"/>
    <w:rsid w:val="003C2F69"/>
    <w:rsid w:val="003C3CEC"/>
    <w:rsid w:val="003C6C41"/>
    <w:rsid w:val="003C7080"/>
    <w:rsid w:val="003D1B15"/>
    <w:rsid w:val="003D2591"/>
    <w:rsid w:val="003D26A5"/>
    <w:rsid w:val="003D371C"/>
    <w:rsid w:val="003D3D51"/>
    <w:rsid w:val="003D4F7F"/>
    <w:rsid w:val="003D5EE4"/>
    <w:rsid w:val="003D778E"/>
    <w:rsid w:val="003E1C04"/>
    <w:rsid w:val="003E42A1"/>
    <w:rsid w:val="003E6413"/>
    <w:rsid w:val="003F0675"/>
    <w:rsid w:val="003F1E23"/>
    <w:rsid w:val="003F343F"/>
    <w:rsid w:val="003F4F64"/>
    <w:rsid w:val="003F6C61"/>
    <w:rsid w:val="003F7A93"/>
    <w:rsid w:val="00405495"/>
    <w:rsid w:val="00410B6F"/>
    <w:rsid w:val="00410B88"/>
    <w:rsid w:val="00410B8C"/>
    <w:rsid w:val="00412DBF"/>
    <w:rsid w:val="0041420F"/>
    <w:rsid w:val="004217C6"/>
    <w:rsid w:val="00421CFC"/>
    <w:rsid w:val="00425FBB"/>
    <w:rsid w:val="00426F03"/>
    <w:rsid w:val="00427A8F"/>
    <w:rsid w:val="00432A3A"/>
    <w:rsid w:val="004341C8"/>
    <w:rsid w:val="00440B6F"/>
    <w:rsid w:val="00442369"/>
    <w:rsid w:val="0044511B"/>
    <w:rsid w:val="00450EA8"/>
    <w:rsid w:val="004514C2"/>
    <w:rsid w:val="00451E8B"/>
    <w:rsid w:val="004550DD"/>
    <w:rsid w:val="0045555D"/>
    <w:rsid w:val="00455F30"/>
    <w:rsid w:val="004562C0"/>
    <w:rsid w:val="004567D3"/>
    <w:rsid w:val="00456F68"/>
    <w:rsid w:val="00464DB9"/>
    <w:rsid w:val="004659EB"/>
    <w:rsid w:val="00465F6F"/>
    <w:rsid w:val="00472899"/>
    <w:rsid w:val="0047473C"/>
    <w:rsid w:val="00474F24"/>
    <w:rsid w:val="004764CF"/>
    <w:rsid w:val="004769A9"/>
    <w:rsid w:val="0048101A"/>
    <w:rsid w:val="00494439"/>
    <w:rsid w:val="00496DB4"/>
    <w:rsid w:val="004A0845"/>
    <w:rsid w:val="004A1E4C"/>
    <w:rsid w:val="004A4671"/>
    <w:rsid w:val="004A53AC"/>
    <w:rsid w:val="004A60B4"/>
    <w:rsid w:val="004A78A5"/>
    <w:rsid w:val="004A7D2E"/>
    <w:rsid w:val="004B269D"/>
    <w:rsid w:val="004B2AB2"/>
    <w:rsid w:val="004B4565"/>
    <w:rsid w:val="004B6B5F"/>
    <w:rsid w:val="004B77A8"/>
    <w:rsid w:val="004C295B"/>
    <w:rsid w:val="004D2AE1"/>
    <w:rsid w:val="004D3513"/>
    <w:rsid w:val="004D3E64"/>
    <w:rsid w:val="004D418D"/>
    <w:rsid w:val="004D54AA"/>
    <w:rsid w:val="004F0841"/>
    <w:rsid w:val="004F2063"/>
    <w:rsid w:val="004F2660"/>
    <w:rsid w:val="004F4201"/>
    <w:rsid w:val="004F6A91"/>
    <w:rsid w:val="004F7B4A"/>
    <w:rsid w:val="00500155"/>
    <w:rsid w:val="00500611"/>
    <w:rsid w:val="00501ECD"/>
    <w:rsid w:val="0050201F"/>
    <w:rsid w:val="00506516"/>
    <w:rsid w:val="005116D8"/>
    <w:rsid w:val="005133D3"/>
    <w:rsid w:val="005141B9"/>
    <w:rsid w:val="00514CCB"/>
    <w:rsid w:val="0051503A"/>
    <w:rsid w:val="0051577A"/>
    <w:rsid w:val="00515D44"/>
    <w:rsid w:val="00516D26"/>
    <w:rsid w:val="00521A5B"/>
    <w:rsid w:val="0052226E"/>
    <w:rsid w:val="00527BBD"/>
    <w:rsid w:val="0053452C"/>
    <w:rsid w:val="00535A64"/>
    <w:rsid w:val="00535D1B"/>
    <w:rsid w:val="0054036E"/>
    <w:rsid w:val="00541A2D"/>
    <w:rsid w:val="00541FA5"/>
    <w:rsid w:val="0054382D"/>
    <w:rsid w:val="00544817"/>
    <w:rsid w:val="00545C8E"/>
    <w:rsid w:val="00547A6F"/>
    <w:rsid w:val="0055532A"/>
    <w:rsid w:val="00555F6A"/>
    <w:rsid w:val="005560F1"/>
    <w:rsid w:val="00557EB2"/>
    <w:rsid w:val="00562A17"/>
    <w:rsid w:val="005643EE"/>
    <w:rsid w:val="00564F7C"/>
    <w:rsid w:val="00570A29"/>
    <w:rsid w:val="0057124B"/>
    <w:rsid w:val="00571EC0"/>
    <w:rsid w:val="00574720"/>
    <w:rsid w:val="00576142"/>
    <w:rsid w:val="0057764B"/>
    <w:rsid w:val="00582523"/>
    <w:rsid w:val="005845CF"/>
    <w:rsid w:val="00584EFC"/>
    <w:rsid w:val="00586457"/>
    <w:rsid w:val="00586F5B"/>
    <w:rsid w:val="00587472"/>
    <w:rsid w:val="005942A4"/>
    <w:rsid w:val="0059491F"/>
    <w:rsid w:val="005A48C4"/>
    <w:rsid w:val="005A50AC"/>
    <w:rsid w:val="005A593C"/>
    <w:rsid w:val="005A5E7E"/>
    <w:rsid w:val="005A5F91"/>
    <w:rsid w:val="005B14C0"/>
    <w:rsid w:val="005B4DED"/>
    <w:rsid w:val="005B5624"/>
    <w:rsid w:val="005B575B"/>
    <w:rsid w:val="005B669C"/>
    <w:rsid w:val="005C13E4"/>
    <w:rsid w:val="005D19F0"/>
    <w:rsid w:val="005D4342"/>
    <w:rsid w:val="005D601B"/>
    <w:rsid w:val="005D71A5"/>
    <w:rsid w:val="005E003B"/>
    <w:rsid w:val="005E0530"/>
    <w:rsid w:val="005E23E4"/>
    <w:rsid w:val="005E2419"/>
    <w:rsid w:val="005E5B73"/>
    <w:rsid w:val="005E69A6"/>
    <w:rsid w:val="005F5439"/>
    <w:rsid w:val="005F5846"/>
    <w:rsid w:val="005F6931"/>
    <w:rsid w:val="005F787E"/>
    <w:rsid w:val="006000CF"/>
    <w:rsid w:val="00605B00"/>
    <w:rsid w:val="00611A6A"/>
    <w:rsid w:val="00612183"/>
    <w:rsid w:val="0061256D"/>
    <w:rsid w:val="006149EE"/>
    <w:rsid w:val="00616347"/>
    <w:rsid w:val="00616D94"/>
    <w:rsid w:val="006178CF"/>
    <w:rsid w:val="00620445"/>
    <w:rsid w:val="006211EA"/>
    <w:rsid w:val="006212D8"/>
    <w:rsid w:val="00621CC0"/>
    <w:rsid w:val="00623A98"/>
    <w:rsid w:val="00624A3F"/>
    <w:rsid w:val="00627DDE"/>
    <w:rsid w:val="00627F19"/>
    <w:rsid w:val="00632B26"/>
    <w:rsid w:val="00632E8E"/>
    <w:rsid w:val="006334E5"/>
    <w:rsid w:val="00641816"/>
    <w:rsid w:val="00641BD5"/>
    <w:rsid w:val="00643A3D"/>
    <w:rsid w:val="00644899"/>
    <w:rsid w:val="00645427"/>
    <w:rsid w:val="0065006A"/>
    <w:rsid w:val="00651021"/>
    <w:rsid w:val="00652381"/>
    <w:rsid w:val="00652A1E"/>
    <w:rsid w:val="006531EC"/>
    <w:rsid w:val="00653DB7"/>
    <w:rsid w:val="00654A7B"/>
    <w:rsid w:val="006559A5"/>
    <w:rsid w:val="006605EF"/>
    <w:rsid w:val="00662392"/>
    <w:rsid w:val="00663380"/>
    <w:rsid w:val="0066460E"/>
    <w:rsid w:val="00664B57"/>
    <w:rsid w:val="00665880"/>
    <w:rsid w:val="00665E1D"/>
    <w:rsid w:val="00667C51"/>
    <w:rsid w:val="00670EA0"/>
    <w:rsid w:val="0067580A"/>
    <w:rsid w:val="00675B88"/>
    <w:rsid w:val="00676966"/>
    <w:rsid w:val="006769D4"/>
    <w:rsid w:val="00677116"/>
    <w:rsid w:val="0068041F"/>
    <w:rsid w:val="00682088"/>
    <w:rsid w:val="006833CD"/>
    <w:rsid w:val="00684002"/>
    <w:rsid w:val="00686C6C"/>
    <w:rsid w:val="00687102"/>
    <w:rsid w:val="0068724E"/>
    <w:rsid w:val="00690982"/>
    <w:rsid w:val="006914CC"/>
    <w:rsid w:val="00691FDF"/>
    <w:rsid w:val="0069353D"/>
    <w:rsid w:val="0069384C"/>
    <w:rsid w:val="00693B0E"/>
    <w:rsid w:val="00693B19"/>
    <w:rsid w:val="00695A85"/>
    <w:rsid w:val="0069616B"/>
    <w:rsid w:val="00696811"/>
    <w:rsid w:val="006A3187"/>
    <w:rsid w:val="006A6C66"/>
    <w:rsid w:val="006A7270"/>
    <w:rsid w:val="006B13DF"/>
    <w:rsid w:val="006B30C1"/>
    <w:rsid w:val="006B5A93"/>
    <w:rsid w:val="006B7E94"/>
    <w:rsid w:val="006B7F4A"/>
    <w:rsid w:val="006C0898"/>
    <w:rsid w:val="006C1E67"/>
    <w:rsid w:val="006C483C"/>
    <w:rsid w:val="006C5D26"/>
    <w:rsid w:val="006C6CFF"/>
    <w:rsid w:val="006C7E40"/>
    <w:rsid w:val="006D0696"/>
    <w:rsid w:val="006D119D"/>
    <w:rsid w:val="006D1DFB"/>
    <w:rsid w:val="006D3DF7"/>
    <w:rsid w:val="006D5417"/>
    <w:rsid w:val="006D65E7"/>
    <w:rsid w:val="006E3C37"/>
    <w:rsid w:val="006E3FAA"/>
    <w:rsid w:val="006E60D3"/>
    <w:rsid w:val="006E7C52"/>
    <w:rsid w:val="006F1D3E"/>
    <w:rsid w:val="006F6900"/>
    <w:rsid w:val="006F6F6A"/>
    <w:rsid w:val="006F7032"/>
    <w:rsid w:val="00700C01"/>
    <w:rsid w:val="00700DD8"/>
    <w:rsid w:val="00702E70"/>
    <w:rsid w:val="00703730"/>
    <w:rsid w:val="00705CCF"/>
    <w:rsid w:val="00706814"/>
    <w:rsid w:val="0070723B"/>
    <w:rsid w:val="00707708"/>
    <w:rsid w:val="00713EC7"/>
    <w:rsid w:val="00715A85"/>
    <w:rsid w:val="00715F86"/>
    <w:rsid w:val="0071674F"/>
    <w:rsid w:val="00717781"/>
    <w:rsid w:val="00721952"/>
    <w:rsid w:val="00722930"/>
    <w:rsid w:val="00730269"/>
    <w:rsid w:val="0073032E"/>
    <w:rsid w:val="00737F4A"/>
    <w:rsid w:val="00740668"/>
    <w:rsid w:val="00742203"/>
    <w:rsid w:val="00742456"/>
    <w:rsid w:val="007437C2"/>
    <w:rsid w:val="00743F80"/>
    <w:rsid w:val="00745A24"/>
    <w:rsid w:val="00745B1A"/>
    <w:rsid w:val="00745D53"/>
    <w:rsid w:val="007469B4"/>
    <w:rsid w:val="0075016E"/>
    <w:rsid w:val="007501BB"/>
    <w:rsid w:val="00752057"/>
    <w:rsid w:val="007533DB"/>
    <w:rsid w:val="00756758"/>
    <w:rsid w:val="00757A9D"/>
    <w:rsid w:val="00760DD0"/>
    <w:rsid w:val="00765967"/>
    <w:rsid w:val="00765FBE"/>
    <w:rsid w:val="0077412A"/>
    <w:rsid w:val="00775CF0"/>
    <w:rsid w:val="0078096F"/>
    <w:rsid w:val="00780C29"/>
    <w:rsid w:val="00781088"/>
    <w:rsid w:val="00782F80"/>
    <w:rsid w:val="0078308E"/>
    <w:rsid w:val="00784116"/>
    <w:rsid w:val="007859CE"/>
    <w:rsid w:val="0078609B"/>
    <w:rsid w:val="00790E64"/>
    <w:rsid w:val="00791D10"/>
    <w:rsid w:val="00793A6C"/>
    <w:rsid w:val="00794A4A"/>
    <w:rsid w:val="0079568E"/>
    <w:rsid w:val="00795BCE"/>
    <w:rsid w:val="00797E81"/>
    <w:rsid w:val="007A44A9"/>
    <w:rsid w:val="007A66F2"/>
    <w:rsid w:val="007B1EA7"/>
    <w:rsid w:val="007B599C"/>
    <w:rsid w:val="007B5CD3"/>
    <w:rsid w:val="007C063B"/>
    <w:rsid w:val="007C0928"/>
    <w:rsid w:val="007C0E73"/>
    <w:rsid w:val="007C2379"/>
    <w:rsid w:val="007C57E6"/>
    <w:rsid w:val="007C5CEE"/>
    <w:rsid w:val="007D1220"/>
    <w:rsid w:val="007D3E6D"/>
    <w:rsid w:val="007E1552"/>
    <w:rsid w:val="007E611A"/>
    <w:rsid w:val="007E622C"/>
    <w:rsid w:val="007F2C42"/>
    <w:rsid w:val="007F3A7E"/>
    <w:rsid w:val="007F4596"/>
    <w:rsid w:val="007F52EC"/>
    <w:rsid w:val="007F54B4"/>
    <w:rsid w:val="007F708D"/>
    <w:rsid w:val="008002FF"/>
    <w:rsid w:val="00800CA1"/>
    <w:rsid w:val="008032FB"/>
    <w:rsid w:val="00807CE3"/>
    <w:rsid w:val="00811479"/>
    <w:rsid w:val="00811632"/>
    <w:rsid w:val="00812260"/>
    <w:rsid w:val="00813094"/>
    <w:rsid w:val="0081559C"/>
    <w:rsid w:val="00820B4E"/>
    <w:rsid w:val="0082251D"/>
    <w:rsid w:val="00822644"/>
    <w:rsid w:val="008233E7"/>
    <w:rsid w:val="00826409"/>
    <w:rsid w:val="00830207"/>
    <w:rsid w:val="00830ECA"/>
    <w:rsid w:val="008352D4"/>
    <w:rsid w:val="008357BB"/>
    <w:rsid w:val="00840699"/>
    <w:rsid w:val="0084184A"/>
    <w:rsid w:val="00841A44"/>
    <w:rsid w:val="00844EA4"/>
    <w:rsid w:val="008454C4"/>
    <w:rsid w:val="00845626"/>
    <w:rsid w:val="00850EFF"/>
    <w:rsid w:val="008528B4"/>
    <w:rsid w:val="00853140"/>
    <w:rsid w:val="0085364E"/>
    <w:rsid w:val="00853E83"/>
    <w:rsid w:val="00855717"/>
    <w:rsid w:val="00855A55"/>
    <w:rsid w:val="00857828"/>
    <w:rsid w:val="0086608F"/>
    <w:rsid w:val="00866197"/>
    <w:rsid w:val="00866782"/>
    <w:rsid w:val="008705A9"/>
    <w:rsid w:val="00870BE0"/>
    <w:rsid w:val="008710B9"/>
    <w:rsid w:val="00871F05"/>
    <w:rsid w:val="00881259"/>
    <w:rsid w:val="0088178C"/>
    <w:rsid w:val="00882FA1"/>
    <w:rsid w:val="0088494A"/>
    <w:rsid w:val="00885767"/>
    <w:rsid w:val="008864DD"/>
    <w:rsid w:val="0088762A"/>
    <w:rsid w:val="008919F5"/>
    <w:rsid w:val="00891ABA"/>
    <w:rsid w:val="00891F6A"/>
    <w:rsid w:val="008931F6"/>
    <w:rsid w:val="00895EEF"/>
    <w:rsid w:val="00896C0F"/>
    <w:rsid w:val="008A03FC"/>
    <w:rsid w:val="008A0785"/>
    <w:rsid w:val="008A2B32"/>
    <w:rsid w:val="008A34E0"/>
    <w:rsid w:val="008A4CA5"/>
    <w:rsid w:val="008A5B5B"/>
    <w:rsid w:val="008B02B9"/>
    <w:rsid w:val="008B50A4"/>
    <w:rsid w:val="008B5E6A"/>
    <w:rsid w:val="008B5FBC"/>
    <w:rsid w:val="008C144D"/>
    <w:rsid w:val="008C1B5B"/>
    <w:rsid w:val="008C32D3"/>
    <w:rsid w:val="008C4B86"/>
    <w:rsid w:val="008D25DB"/>
    <w:rsid w:val="008D69BC"/>
    <w:rsid w:val="008D780D"/>
    <w:rsid w:val="008E03C9"/>
    <w:rsid w:val="008E0449"/>
    <w:rsid w:val="008E4193"/>
    <w:rsid w:val="008E6D5D"/>
    <w:rsid w:val="008E70DC"/>
    <w:rsid w:val="008E7B8D"/>
    <w:rsid w:val="008F3DBB"/>
    <w:rsid w:val="00904DB6"/>
    <w:rsid w:val="009052B2"/>
    <w:rsid w:val="00907548"/>
    <w:rsid w:val="0091171E"/>
    <w:rsid w:val="009134AE"/>
    <w:rsid w:val="00913550"/>
    <w:rsid w:val="00913B76"/>
    <w:rsid w:val="00916AAF"/>
    <w:rsid w:val="00920D26"/>
    <w:rsid w:val="00920E03"/>
    <w:rsid w:val="00922017"/>
    <w:rsid w:val="00924A62"/>
    <w:rsid w:val="009271CD"/>
    <w:rsid w:val="00927749"/>
    <w:rsid w:val="00933BEB"/>
    <w:rsid w:val="00934734"/>
    <w:rsid w:val="00936E1E"/>
    <w:rsid w:val="00937CD2"/>
    <w:rsid w:val="0094100D"/>
    <w:rsid w:val="0094516E"/>
    <w:rsid w:val="009458A8"/>
    <w:rsid w:val="00946DB5"/>
    <w:rsid w:val="00950E78"/>
    <w:rsid w:val="00956BBD"/>
    <w:rsid w:val="00960121"/>
    <w:rsid w:val="00960C34"/>
    <w:rsid w:val="00962159"/>
    <w:rsid w:val="0096427B"/>
    <w:rsid w:val="009655C9"/>
    <w:rsid w:val="009658BD"/>
    <w:rsid w:val="0097065E"/>
    <w:rsid w:val="0097148A"/>
    <w:rsid w:val="009748ED"/>
    <w:rsid w:val="00976B10"/>
    <w:rsid w:val="00980F0C"/>
    <w:rsid w:val="009812D7"/>
    <w:rsid w:val="009815C5"/>
    <w:rsid w:val="009816A4"/>
    <w:rsid w:val="00981AF5"/>
    <w:rsid w:val="00983676"/>
    <w:rsid w:val="00983F5F"/>
    <w:rsid w:val="00984BE1"/>
    <w:rsid w:val="009937E9"/>
    <w:rsid w:val="00994E85"/>
    <w:rsid w:val="009955B3"/>
    <w:rsid w:val="009A16DE"/>
    <w:rsid w:val="009A41D4"/>
    <w:rsid w:val="009A4C6B"/>
    <w:rsid w:val="009B1FE3"/>
    <w:rsid w:val="009B3034"/>
    <w:rsid w:val="009B4EA4"/>
    <w:rsid w:val="009B577C"/>
    <w:rsid w:val="009C1374"/>
    <w:rsid w:val="009C17DD"/>
    <w:rsid w:val="009C49FB"/>
    <w:rsid w:val="009C5850"/>
    <w:rsid w:val="009C75F5"/>
    <w:rsid w:val="009C7C8F"/>
    <w:rsid w:val="009D0132"/>
    <w:rsid w:val="009D1A82"/>
    <w:rsid w:val="009D2336"/>
    <w:rsid w:val="009D2930"/>
    <w:rsid w:val="009D2BF6"/>
    <w:rsid w:val="009D5F2F"/>
    <w:rsid w:val="009D6965"/>
    <w:rsid w:val="009E09F2"/>
    <w:rsid w:val="009E16A4"/>
    <w:rsid w:val="009E2F8D"/>
    <w:rsid w:val="009E40FC"/>
    <w:rsid w:val="009E60C3"/>
    <w:rsid w:val="009F34C8"/>
    <w:rsid w:val="009F37B1"/>
    <w:rsid w:val="009F60F7"/>
    <w:rsid w:val="00A000AE"/>
    <w:rsid w:val="00A02523"/>
    <w:rsid w:val="00A04947"/>
    <w:rsid w:val="00A1021A"/>
    <w:rsid w:val="00A12A71"/>
    <w:rsid w:val="00A14FA7"/>
    <w:rsid w:val="00A16A5A"/>
    <w:rsid w:val="00A21AA4"/>
    <w:rsid w:val="00A21DEF"/>
    <w:rsid w:val="00A22E2D"/>
    <w:rsid w:val="00A27AED"/>
    <w:rsid w:val="00A31813"/>
    <w:rsid w:val="00A3225D"/>
    <w:rsid w:val="00A35A1C"/>
    <w:rsid w:val="00A35D47"/>
    <w:rsid w:val="00A42837"/>
    <w:rsid w:val="00A43F0A"/>
    <w:rsid w:val="00A43FDE"/>
    <w:rsid w:val="00A5043B"/>
    <w:rsid w:val="00A505AD"/>
    <w:rsid w:val="00A521B0"/>
    <w:rsid w:val="00A53392"/>
    <w:rsid w:val="00A53F9F"/>
    <w:rsid w:val="00A5479C"/>
    <w:rsid w:val="00A5656A"/>
    <w:rsid w:val="00A57CD4"/>
    <w:rsid w:val="00A61731"/>
    <w:rsid w:val="00A63861"/>
    <w:rsid w:val="00A70D52"/>
    <w:rsid w:val="00A72531"/>
    <w:rsid w:val="00A74988"/>
    <w:rsid w:val="00A768A6"/>
    <w:rsid w:val="00A77800"/>
    <w:rsid w:val="00A77825"/>
    <w:rsid w:val="00A823B1"/>
    <w:rsid w:val="00A831A1"/>
    <w:rsid w:val="00A85B75"/>
    <w:rsid w:val="00A870AF"/>
    <w:rsid w:val="00A926A5"/>
    <w:rsid w:val="00A95396"/>
    <w:rsid w:val="00A95622"/>
    <w:rsid w:val="00A95BB4"/>
    <w:rsid w:val="00A976A1"/>
    <w:rsid w:val="00AA041F"/>
    <w:rsid w:val="00AA353C"/>
    <w:rsid w:val="00AA5F21"/>
    <w:rsid w:val="00AA6BA9"/>
    <w:rsid w:val="00AB234B"/>
    <w:rsid w:val="00AB4315"/>
    <w:rsid w:val="00AB571E"/>
    <w:rsid w:val="00AB6AB3"/>
    <w:rsid w:val="00AB7F57"/>
    <w:rsid w:val="00AC0B7B"/>
    <w:rsid w:val="00AC2712"/>
    <w:rsid w:val="00AC3A1B"/>
    <w:rsid w:val="00AD1FA5"/>
    <w:rsid w:val="00AD441C"/>
    <w:rsid w:val="00AD73F3"/>
    <w:rsid w:val="00AE04B5"/>
    <w:rsid w:val="00AE334D"/>
    <w:rsid w:val="00AE4844"/>
    <w:rsid w:val="00AE4E83"/>
    <w:rsid w:val="00AE7202"/>
    <w:rsid w:val="00AE7929"/>
    <w:rsid w:val="00AF12CD"/>
    <w:rsid w:val="00B00584"/>
    <w:rsid w:val="00B00C10"/>
    <w:rsid w:val="00B00EC7"/>
    <w:rsid w:val="00B01190"/>
    <w:rsid w:val="00B04FFA"/>
    <w:rsid w:val="00B0565D"/>
    <w:rsid w:val="00B0624F"/>
    <w:rsid w:val="00B1395D"/>
    <w:rsid w:val="00B15071"/>
    <w:rsid w:val="00B1625D"/>
    <w:rsid w:val="00B17BD5"/>
    <w:rsid w:val="00B17D49"/>
    <w:rsid w:val="00B31EBE"/>
    <w:rsid w:val="00B34DBF"/>
    <w:rsid w:val="00B36F6E"/>
    <w:rsid w:val="00B37476"/>
    <w:rsid w:val="00B37FD3"/>
    <w:rsid w:val="00B40513"/>
    <w:rsid w:val="00B40850"/>
    <w:rsid w:val="00B41687"/>
    <w:rsid w:val="00B5160D"/>
    <w:rsid w:val="00B51DEF"/>
    <w:rsid w:val="00B5202E"/>
    <w:rsid w:val="00B53843"/>
    <w:rsid w:val="00B538B8"/>
    <w:rsid w:val="00B57D0C"/>
    <w:rsid w:val="00B62930"/>
    <w:rsid w:val="00B66F1A"/>
    <w:rsid w:val="00B66FF4"/>
    <w:rsid w:val="00B7193C"/>
    <w:rsid w:val="00B7459D"/>
    <w:rsid w:val="00B75328"/>
    <w:rsid w:val="00B86E09"/>
    <w:rsid w:val="00B87B23"/>
    <w:rsid w:val="00B90A2C"/>
    <w:rsid w:val="00B9126B"/>
    <w:rsid w:val="00B91878"/>
    <w:rsid w:val="00B92A96"/>
    <w:rsid w:val="00B9487A"/>
    <w:rsid w:val="00B94F71"/>
    <w:rsid w:val="00B95F3F"/>
    <w:rsid w:val="00BA03D7"/>
    <w:rsid w:val="00BA07DC"/>
    <w:rsid w:val="00BA0869"/>
    <w:rsid w:val="00BB1110"/>
    <w:rsid w:val="00BB513D"/>
    <w:rsid w:val="00BB553C"/>
    <w:rsid w:val="00BB5E69"/>
    <w:rsid w:val="00BC58AF"/>
    <w:rsid w:val="00BC7E21"/>
    <w:rsid w:val="00BD416B"/>
    <w:rsid w:val="00BD575E"/>
    <w:rsid w:val="00BD6E33"/>
    <w:rsid w:val="00BD744C"/>
    <w:rsid w:val="00BD7AA0"/>
    <w:rsid w:val="00BE179F"/>
    <w:rsid w:val="00BE2117"/>
    <w:rsid w:val="00BE585F"/>
    <w:rsid w:val="00BE674E"/>
    <w:rsid w:val="00BE6DA4"/>
    <w:rsid w:val="00BE6E3C"/>
    <w:rsid w:val="00BE79B8"/>
    <w:rsid w:val="00BF15CB"/>
    <w:rsid w:val="00BF1F99"/>
    <w:rsid w:val="00C01C47"/>
    <w:rsid w:val="00C0357D"/>
    <w:rsid w:val="00C03D58"/>
    <w:rsid w:val="00C04ECD"/>
    <w:rsid w:val="00C10BE6"/>
    <w:rsid w:val="00C2065C"/>
    <w:rsid w:val="00C25784"/>
    <w:rsid w:val="00C257C1"/>
    <w:rsid w:val="00C26712"/>
    <w:rsid w:val="00C2785D"/>
    <w:rsid w:val="00C3196B"/>
    <w:rsid w:val="00C3391B"/>
    <w:rsid w:val="00C37D9C"/>
    <w:rsid w:val="00C4187C"/>
    <w:rsid w:val="00C446A1"/>
    <w:rsid w:val="00C459F6"/>
    <w:rsid w:val="00C45EBD"/>
    <w:rsid w:val="00C5192E"/>
    <w:rsid w:val="00C51A9D"/>
    <w:rsid w:val="00C524A4"/>
    <w:rsid w:val="00C526F0"/>
    <w:rsid w:val="00C532F5"/>
    <w:rsid w:val="00C5363A"/>
    <w:rsid w:val="00C53ED6"/>
    <w:rsid w:val="00C56611"/>
    <w:rsid w:val="00C56853"/>
    <w:rsid w:val="00C63BE0"/>
    <w:rsid w:val="00C64CD0"/>
    <w:rsid w:val="00C65664"/>
    <w:rsid w:val="00C67896"/>
    <w:rsid w:val="00C67DD3"/>
    <w:rsid w:val="00C70CDB"/>
    <w:rsid w:val="00C70D6E"/>
    <w:rsid w:val="00C719D7"/>
    <w:rsid w:val="00C74EB2"/>
    <w:rsid w:val="00C7754B"/>
    <w:rsid w:val="00C7794D"/>
    <w:rsid w:val="00C77C3C"/>
    <w:rsid w:val="00C77F42"/>
    <w:rsid w:val="00C84D4B"/>
    <w:rsid w:val="00C84EDD"/>
    <w:rsid w:val="00C84F00"/>
    <w:rsid w:val="00C84F45"/>
    <w:rsid w:val="00C86A04"/>
    <w:rsid w:val="00C90256"/>
    <w:rsid w:val="00C91A54"/>
    <w:rsid w:val="00C93CE2"/>
    <w:rsid w:val="00C95733"/>
    <w:rsid w:val="00CA0FD8"/>
    <w:rsid w:val="00CB4417"/>
    <w:rsid w:val="00CB4FC8"/>
    <w:rsid w:val="00CB5A11"/>
    <w:rsid w:val="00CB6D48"/>
    <w:rsid w:val="00CB7AF3"/>
    <w:rsid w:val="00CC2C12"/>
    <w:rsid w:val="00CC3677"/>
    <w:rsid w:val="00CC4356"/>
    <w:rsid w:val="00CC6232"/>
    <w:rsid w:val="00CC7484"/>
    <w:rsid w:val="00CD0023"/>
    <w:rsid w:val="00CD109C"/>
    <w:rsid w:val="00CD1E9F"/>
    <w:rsid w:val="00CD36BC"/>
    <w:rsid w:val="00CD43EC"/>
    <w:rsid w:val="00CD5A06"/>
    <w:rsid w:val="00CD71E7"/>
    <w:rsid w:val="00CD7309"/>
    <w:rsid w:val="00CE314A"/>
    <w:rsid w:val="00CE4631"/>
    <w:rsid w:val="00CE78EC"/>
    <w:rsid w:val="00CF089C"/>
    <w:rsid w:val="00CF1AD2"/>
    <w:rsid w:val="00CF2287"/>
    <w:rsid w:val="00CF2F78"/>
    <w:rsid w:val="00CF5113"/>
    <w:rsid w:val="00CF6437"/>
    <w:rsid w:val="00CF6B87"/>
    <w:rsid w:val="00CF79A3"/>
    <w:rsid w:val="00D01775"/>
    <w:rsid w:val="00D0274B"/>
    <w:rsid w:val="00D03993"/>
    <w:rsid w:val="00D15850"/>
    <w:rsid w:val="00D16DA4"/>
    <w:rsid w:val="00D171C2"/>
    <w:rsid w:val="00D17B68"/>
    <w:rsid w:val="00D2491D"/>
    <w:rsid w:val="00D31A34"/>
    <w:rsid w:val="00D31F31"/>
    <w:rsid w:val="00D33102"/>
    <w:rsid w:val="00D33ECE"/>
    <w:rsid w:val="00D34DCD"/>
    <w:rsid w:val="00D41BD4"/>
    <w:rsid w:val="00D42383"/>
    <w:rsid w:val="00D430E0"/>
    <w:rsid w:val="00D4472D"/>
    <w:rsid w:val="00D4508A"/>
    <w:rsid w:val="00D4635E"/>
    <w:rsid w:val="00D505F1"/>
    <w:rsid w:val="00D52F35"/>
    <w:rsid w:val="00D5417F"/>
    <w:rsid w:val="00D56F55"/>
    <w:rsid w:val="00D628D5"/>
    <w:rsid w:val="00D661A1"/>
    <w:rsid w:val="00D66BA6"/>
    <w:rsid w:val="00D725BB"/>
    <w:rsid w:val="00D743F6"/>
    <w:rsid w:val="00D75CAA"/>
    <w:rsid w:val="00D82072"/>
    <w:rsid w:val="00D84A71"/>
    <w:rsid w:val="00D84CC6"/>
    <w:rsid w:val="00D85EC0"/>
    <w:rsid w:val="00D86DCF"/>
    <w:rsid w:val="00D92EE6"/>
    <w:rsid w:val="00D97915"/>
    <w:rsid w:val="00DA308E"/>
    <w:rsid w:val="00DA358F"/>
    <w:rsid w:val="00DA4AB1"/>
    <w:rsid w:val="00DA7227"/>
    <w:rsid w:val="00DB0FFF"/>
    <w:rsid w:val="00DB4FCF"/>
    <w:rsid w:val="00DC16F6"/>
    <w:rsid w:val="00DC2079"/>
    <w:rsid w:val="00DC511B"/>
    <w:rsid w:val="00DC55ED"/>
    <w:rsid w:val="00DC583C"/>
    <w:rsid w:val="00DC5F55"/>
    <w:rsid w:val="00DC6C04"/>
    <w:rsid w:val="00DC6F63"/>
    <w:rsid w:val="00DC7CF4"/>
    <w:rsid w:val="00DD1B88"/>
    <w:rsid w:val="00DD1BC4"/>
    <w:rsid w:val="00DD5640"/>
    <w:rsid w:val="00DD69D9"/>
    <w:rsid w:val="00DE0232"/>
    <w:rsid w:val="00DE0523"/>
    <w:rsid w:val="00DE1497"/>
    <w:rsid w:val="00DE1AEA"/>
    <w:rsid w:val="00DE25B6"/>
    <w:rsid w:val="00DE2912"/>
    <w:rsid w:val="00DE4395"/>
    <w:rsid w:val="00DE50D5"/>
    <w:rsid w:val="00DE5C12"/>
    <w:rsid w:val="00DE6249"/>
    <w:rsid w:val="00DE679E"/>
    <w:rsid w:val="00DF0C61"/>
    <w:rsid w:val="00DF42F3"/>
    <w:rsid w:val="00DF5880"/>
    <w:rsid w:val="00DF7AF0"/>
    <w:rsid w:val="00E00A77"/>
    <w:rsid w:val="00E041C9"/>
    <w:rsid w:val="00E04E4D"/>
    <w:rsid w:val="00E10A3A"/>
    <w:rsid w:val="00E12635"/>
    <w:rsid w:val="00E167AE"/>
    <w:rsid w:val="00E16C43"/>
    <w:rsid w:val="00E17AFE"/>
    <w:rsid w:val="00E17BC7"/>
    <w:rsid w:val="00E17EC0"/>
    <w:rsid w:val="00E247F6"/>
    <w:rsid w:val="00E2722E"/>
    <w:rsid w:val="00E3053F"/>
    <w:rsid w:val="00E32197"/>
    <w:rsid w:val="00E445E9"/>
    <w:rsid w:val="00E502F8"/>
    <w:rsid w:val="00E518B8"/>
    <w:rsid w:val="00E52B1D"/>
    <w:rsid w:val="00E52EFA"/>
    <w:rsid w:val="00E541FA"/>
    <w:rsid w:val="00E54741"/>
    <w:rsid w:val="00E54E52"/>
    <w:rsid w:val="00E56548"/>
    <w:rsid w:val="00E6460B"/>
    <w:rsid w:val="00E66218"/>
    <w:rsid w:val="00E66C72"/>
    <w:rsid w:val="00E67127"/>
    <w:rsid w:val="00E715D5"/>
    <w:rsid w:val="00E725E4"/>
    <w:rsid w:val="00E74811"/>
    <w:rsid w:val="00E76C87"/>
    <w:rsid w:val="00E83761"/>
    <w:rsid w:val="00EA0D1D"/>
    <w:rsid w:val="00EA2476"/>
    <w:rsid w:val="00EA359A"/>
    <w:rsid w:val="00EA6F17"/>
    <w:rsid w:val="00EB0B3F"/>
    <w:rsid w:val="00EB46D2"/>
    <w:rsid w:val="00EB6010"/>
    <w:rsid w:val="00EC17DB"/>
    <w:rsid w:val="00ED1CE3"/>
    <w:rsid w:val="00ED2349"/>
    <w:rsid w:val="00ED4325"/>
    <w:rsid w:val="00ED77BC"/>
    <w:rsid w:val="00EE02AC"/>
    <w:rsid w:val="00EE5786"/>
    <w:rsid w:val="00EE7134"/>
    <w:rsid w:val="00EF4858"/>
    <w:rsid w:val="00EF48FA"/>
    <w:rsid w:val="00EF4CB0"/>
    <w:rsid w:val="00EF5267"/>
    <w:rsid w:val="00EF6B7D"/>
    <w:rsid w:val="00F01724"/>
    <w:rsid w:val="00F0212F"/>
    <w:rsid w:val="00F048CE"/>
    <w:rsid w:val="00F053E2"/>
    <w:rsid w:val="00F06EAF"/>
    <w:rsid w:val="00F07092"/>
    <w:rsid w:val="00F118D1"/>
    <w:rsid w:val="00F16609"/>
    <w:rsid w:val="00F169BF"/>
    <w:rsid w:val="00F174F8"/>
    <w:rsid w:val="00F1759F"/>
    <w:rsid w:val="00F1793E"/>
    <w:rsid w:val="00F20E40"/>
    <w:rsid w:val="00F2172A"/>
    <w:rsid w:val="00F23DA0"/>
    <w:rsid w:val="00F243D7"/>
    <w:rsid w:val="00F31308"/>
    <w:rsid w:val="00F31CA0"/>
    <w:rsid w:val="00F325FE"/>
    <w:rsid w:val="00F33898"/>
    <w:rsid w:val="00F354F1"/>
    <w:rsid w:val="00F37185"/>
    <w:rsid w:val="00F43769"/>
    <w:rsid w:val="00F44774"/>
    <w:rsid w:val="00F45F2A"/>
    <w:rsid w:val="00F462EE"/>
    <w:rsid w:val="00F46EF7"/>
    <w:rsid w:val="00F5039C"/>
    <w:rsid w:val="00F50AAE"/>
    <w:rsid w:val="00F527DF"/>
    <w:rsid w:val="00F558CA"/>
    <w:rsid w:val="00F55BAD"/>
    <w:rsid w:val="00F56672"/>
    <w:rsid w:val="00F56904"/>
    <w:rsid w:val="00F570AE"/>
    <w:rsid w:val="00F57A40"/>
    <w:rsid w:val="00F603BB"/>
    <w:rsid w:val="00F61163"/>
    <w:rsid w:val="00F6312B"/>
    <w:rsid w:val="00F63B3B"/>
    <w:rsid w:val="00F64B38"/>
    <w:rsid w:val="00F65306"/>
    <w:rsid w:val="00F70075"/>
    <w:rsid w:val="00F719CB"/>
    <w:rsid w:val="00F746E9"/>
    <w:rsid w:val="00F7688D"/>
    <w:rsid w:val="00F76F95"/>
    <w:rsid w:val="00F7727C"/>
    <w:rsid w:val="00F81B3C"/>
    <w:rsid w:val="00F81D29"/>
    <w:rsid w:val="00F87ED4"/>
    <w:rsid w:val="00F90ED7"/>
    <w:rsid w:val="00F931F0"/>
    <w:rsid w:val="00F97794"/>
    <w:rsid w:val="00FA0A84"/>
    <w:rsid w:val="00FA1FF8"/>
    <w:rsid w:val="00FA2EF1"/>
    <w:rsid w:val="00FA3375"/>
    <w:rsid w:val="00FA656E"/>
    <w:rsid w:val="00FB1FFB"/>
    <w:rsid w:val="00FB362C"/>
    <w:rsid w:val="00FB4069"/>
    <w:rsid w:val="00FC09D9"/>
    <w:rsid w:val="00FC1378"/>
    <w:rsid w:val="00FC40F0"/>
    <w:rsid w:val="00FC5958"/>
    <w:rsid w:val="00FC674D"/>
    <w:rsid w:val="00FD0E4B"/>
    <w:rsid w:val="00FD0FC6"/>
    <w:rsid w:val="00FD20E5"/>
    <w:rsid w:val="00FD21E9"/>
    <w:rsid w:val="00FD24AC"/>
    <w:rsid w:val="00FD343D"/>
    <w:rsid w:val="00FD4C3F"/>
    <w:rsid w:val="00FD4FCE"/>
    <w:rsid w:val="00FE1A74"/>
    <w:rsid w:val="00FE59CD"/>
    <w:rsid w:val="00FE78F3"/>
    <w:rsid w:val="00FF4131"/>
    <w:rsid w:val="00FF5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D03993"/>
    <w:pPr>
      <w:keepNext/>
      <w:widowControl w:val="0"/>
      <w:ind w:left="1134" w:hanging="1134"/>
      <w:outlineLvl w:val="1"/>
    </w:pPr>
    <w:rPr>
      <w:rFonts w:ascii="Arial Bold" w:eastAsiaTheme="majorEastAsia" w:hAnsi="Arial Bold" w:cs="Arial"/>
      <w:b/>
      <w:bCs/>
      <w:caps/>
      <w:sz w:val="28"/>
    </w:rPr>
  </w:style>
  <w:style w:type="paragraph" w:styleId="Heading3">
    <w:name w:val="heading 3"/>
    <w:aliases w:val="FSHeading 3,Subheading 1"/>
    <w:basedOn w:val="Normal"/>
    <w:next w:val="Normal"/>
    <w:link w:val="Heading3Char"/>
    <w:autoRedefine/>
    <w:uiPriority w:val="9"/>
    <w:unhideWhenUsed/>
    <w:qFormat/>
    <w:rsid w:val="00984BE1"/>
    <w:pPr>
      <w:keepNext/>
      <w:widowControl w:val="0"/>
      <w:spacing w:before="240" w:after="240"/>
      <w:outlineLvl w:val="2"/>
    </w:pPr>
    <w:rPr>
      <w:rFonts w:eastAsiaTheme="majorEastAsia" w:cstheme="majorBidi"/>
      <w:b/>
      <w:bCs/>
      <w:sz w:val="24"/>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D03993"/>
    <w:rPr>
      <w:rFonts w:ascii="Arial Bold" w:eastAsiaTheme="majorEastAsia" w:hAnsi="Arial Bold"/>
      <w:b/>
      <w:bCs/>
      <w:caps/>
      <w:sz w:val="28"/>
      <w:lang w:val="en-GB"/>
    </w:rPr>
  </w:style>
  <w:style w:type="character" w:customStyle="1" w:styleId="Heading3Char">
    <w:name w:val="Heading 3 Char"/>
    <w:aliases w:val="FSHeading 3 Char,Subheading 1 Char"/>
    <w:basedOn w:val="DefaultParagraphFont"/>
    <w:link w:val="Heading3"/>
    <w:uiPriority w:val="9"/>
    <w:rsid w:val="00984BE1"/>
    <w:rPr>
      <w:rFonts w:eastAsiaTheme="majorEastAsia" w:cstheme="majorBidi"/>
      <w:b/>
      <w:bCs/>
      <w:sz w:val="24"/>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1"/>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2"/>
      </w:numPr>
    </w:pPr>
  </w:style>
  <w:style w:type="paragraph" w:customStyle="1" w:styleId="FSBullet3">
    <w:name w:val="FSBullet 3"/>
    <w:basedOn w:val="Normal"/>
    <w:qFormat/>
    <w:rsid w:val="00F76F95"/>
    <w:pPr>
      <w:keepNext/>
      <w:numPr>
        <w:numId w:val="3"/>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BalloonText">
    <w:name w:val="Balloon Text"/>
    <w:basedOn w:val="Normal"/>
    <w:link w:val="BalloonTextChar"/>
    <w:uiPriority w:val="99"/>
    <w:semiHidden/>
    <w:unhideWhenUsed/>
    <w:rsid w:val="00514CCB"/>
    <w:rPr>
      <w:rFonts w:ascii="Tahoma" w:hAnsi="Tahoma" w:cs="Tahoma"/>
      <w:sz w:val="16"/>
      <w:szCs w:val="16"/>
    </w:rPr>
  </w:style>
  <w:style w:type="character" w:customStyle="1" w:styleId="BalloonTextChar">
    <w:name w:val="Balloon Text Char"/>
    <w:basedOn w:val="DefaultParagraphFont"/>
    <w:link w:val="BalloonText"/>
    <w:uiPriority w:val="99"/>
    <w:semiHidden/>
    <w:rsid w:val="00514CCB"/>
    <w:rPr>
      <w:rFonts w:ascii="Tahoma" w:hAnsi="Tahoma" w:cs="Tahoma"/>
      <w:sz w:val="16"/>
      <w:szCs w:val="16"/>
      <w:lang w:val="en-GB"/>
    </w:rPr>
  </w:style>
  <w:style w:type="character" w:styleId="FootnoteReference">
    <w:name w:val="footnote reference"/>
    <w:basedOn w:val="DefaultParagraphFont"/>
    <w:uiPriority w:val="99"/>
    <w:semiHidden/>
    <w:unhideWhenUsed/>
    <w:rsid w:val="00BE2117"/>
    <w:rPr>
      <w:vertAlign w:val="superscript"/>
    </w:rPr>
  </w:style>
  <w:style w:type="table" w:styleId="TableGrid">
    <w:name w:val="Table Grid"/>
    <w:basedOn w:val="TableNormal"/>
    <w:uiPriority w:val="59"/>
    <w:rsid w:val="00B37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9955B3"/>
    <w:pPr>
      <w:spacing w:after="100"/>
    </w:pPr>
  </w:style>
  <w:style w:type="paragraph" w:styleId="TOC3">
    <w:name w:val="toc 3"/>
    <w:basedOn w:val="Normal"/>
    <w:next w:val="Normal"/>
    <w:autoRedefine/>
    <w:uiPriority w:val="39"/>
    <w:unhideWhenUsed/>
    <w:qFormat/>
    <w:rsid w:val="009955B3"/>
    <w:pPr>
      <w:spacing w:after="100"/>
      <w:ind w:left="440"/>
    </w:pPr>
  </w:style>
  <w:style w:type="character" w:styleId="Hyperlink">
    <w:name w:val="Hyperlink"/>
    <w:basedOn w:val="DefaultParagraphFont"/>
    <w:uiPriority w:val="99"/>
    <w:unhideWhenUsed/>
    <w:rsid w:val="009955B3"/>
    <w:rPr>
      <w:color w:val="0000FF" w:themeColor="hyperlink"/>
      <w:u w:val="single"/>
    </w:rPr>
  </w:style>
  <w:style w:type="paragraph" w:styleId="TOC2">
    <w:name w:val="toc 2"/>
    <w:basedOn w:val="Normal"/>
    <w:next w:val="Normal"/>
    <w:autoRedefine/>
    <w:uiPriority w:val="39"/>
    <w:unhideWhenUsed/>
    <w:qFormat/>
    <w:rsid w:val="009955B3"/>
    <w:pPr>
      <w:spacing w:after="100" w:line="276" w:lineRule="auto"/>
      <w:ind w:left="220"/>
    </w:pPr>
    <w:rPr>
      <w:rFonts w:asciiTheme="minorHAnsi" w:eastAsiaTheme="minorEastAsia" w:hAnsiTheme="minorHAnsi"/>
      <w:lang w:val="en-US" w:eastAsia="ja-JP"/>
    </w:rPr>
  </w:style>
  <w:style w:type="paragraph" w:styleId="NoSpacing">
    <w:name w:val="No Spacing"/>
    <w:uiPriority w:val="1"/>
    <w:qFormat/>
    <w:rsid w:val="00CB5A11"/>
    <w:pPr>
      <w:spacing w:after="0" w:line="240" w:lineRule="auto"/>
    </w:pPr>
    <w:rPr>
      <w:rFonts w:cstheme="minorBidi"/>
      <w:lang w:val="en-GB"/>
    </w:rPr>
  </w:style>
  <w:style w:type="character" w:styleId="CommentReference">
    <w:name w:val="annotation reference"/>
    <w:basedOn w:val="DefaultParagraphFont"/>
    <w:uiPriority w:val="99"/>
    <w:semiHidden/>
    <w:unhideWhenUsed/>
    <w:rsid w:val="000B02B6"/>
    <w:rPr>
      <w:sz w:val="16"/>
      <w:szCs w:val="16"/>
    </w:rPr>
  </w:style>
  <w:style w:type="paragraph" w:styleId="CommentText">
    <w:name w:val="annotation text"/>
    <w:basedOn w:val="Normal"/>
    <w:link w:val="CommentTextChar"/>
    <w:uiPriority w:val="99"/>
    <w:semiHidden/>
    <w:unhideWhenUsed/>
    <w:rsid w:val="000B02B6"/>
    <w:rPr>
      <w:sz w:val="20"/>
      <w:szCs w:val="20"/>
    </w:rPr>
  </w:style>
  <w:style w:type="character" w:customStyle="1" w:styleId="CommentTextChar">
    <w:name w:val="Comment Text Char"/>
    <w:basedOn w:val="DefaultParagraphFont"/>
    <w:link w:val="CommentText"/>
    <w:uiPriority w:val="99"/>
    <w:semiHidden/>
    <w:rsid w:val="000B02B6"/>
    <w:rPr>
      <w:rFonts w:cstheme="minorBidi"/>
      <w:sz w:val="20"/>
      <w:szCs w:val="20"/>
      <w:lang w:val="en-GB"/>
    </w:rPr>
  </w:style>
  <w:style w:type="character" w:styleId="Strong">
    <w:name w:val="Strong"/>
    <w:basedOn w:val="DefaultParagraphFont"/>
    <w:uiPriority w:val="22"/>
    <w:qFormat/>
    <w:rsid w:val="005A5E7E"/>
    <w:rPr>
      <w:b/>
      <w:bCs/>
    </w:rPr>
  </w:style>
  <w:style w:type="paragraph" w:styleId="CommentSubject">
    <w:name w:val="annotation subject"/>
    <w:basedOn w:val="CommentText"/>
    <w:next w:val="CommentText"/>
    <w:link w:val="CommentSubjectChar"/>
    <w:uiPriority w:val="99"/>
    <w:semiHidden/>
    <w:unhideWhenUsed/>
    <w:rsid w:val="0017584A"/>
    <w:rPr>
      <w:b/>
      <w:bCs/>
    </w:rPr>
  </w:style>
  <w:style w:type="character" w:customStyle="1" w:styleId="CommentSubjectChar">
    <w:name w:val="Comment Subject Char"/>
    <w:basedOn w:val="CommentTextChar"/>
    <w:link w:val="CommentSubject"/>
    <w:uiPriority w:val="99"/>
    <w:semiHidden/>
    <w:rsid w:val="0017584A"/>
    <w:rPr>
      <w:rFonts w:cstheme="minorBidi"/>
      <w:b/>
      <w:bCs/>
      <w:sz w:val="20"/>
      <w:szCs w:val="20"/>
      <w:lang w:val="en-GB"/>
    </w:rPr>
  </w:style>
  <w:style w:type="character" w:customStyle="1" w:styleId="apple-style-span">
    <w:name w:val="apple-style-span"/>
    <w:basedOn w:val="DefaultParagraphFont"/>
    <w:rsid w:val="00153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D03993"/>
    <w:pPr>
      <w:keepNext/>
      <w:widowControl w:val="0"/>
      <w:ind w:left="1134" w:hanging="1134"/>
      <w:outlineLvl w:val="1"/>
    </w:pPr>
    <w:rPr>
      <w:rFonts w:ascii="Arial Bold" w:eastAsiaTheme="majorEastAsia" w:hAnsi="Arial Bold" w:cs="Arial"/>
      <w:b/>
      <w:bCs/>
      <w:caps/>
      <w:sz w:val="28"/>
    </w:rPr>
  </w:style>
  <w:style w:type="paragraph" w:styleId="Heading3">
    <w:name w:val="heading 3"/>
    <w:aliases w:val="FSHeading 3,Subheading 1"/>
    <w:basedOn w:val="Normal"/>
    <w:next w:val="Normal"/>
    <w:link w:val="Heading3Char"/>
    <w:autoRedefine/>
    <w:uiPriority w:val="9"/>
    <w:unhideWhenUsed/>
    <w:qFormat/>
    <w:rsid w:val="00984BE1"/>
    <w:pPr>
      <w:keepNext/>
      <w:widowControl w:val="0"/>
      <w:spacing w:before="240" w:after="240"/>
      <w:outlineLvl w:val="2"/>
    </w:pPr>
    <w:rPr>
      <w:rFonts w:eastAsiaTheme="majorEastAsia" w:cstheme="majorBidi"/>
      <w:b/>
      <w:bCs/>
      <w:sz w:val="24"/>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D03993"/>
    <w:rPr>
      <w:rFonts w:ascii="Arial Bold" w:eastAsiaTheme="majorEastAsia" w:hAnsi="Arial Bold"/>
      <w:b/>
      <w:bCs/>
      <w:caps/>
      <w:sz w:val="28"/>
      <w:lang w:val="en-GB"/>
    </w:rPr>
  </w:style>
  <w:style w:type="character" w:customStyle="1" w:styleId="Heading3Char">
    <w:name w:val="Heading 3 Char"/>
    <w:aliases w:val="FSHeading 3 Char,Subheading 1 Char"/>
    <w:basedOn w:val="DefaultParagraphFont"/>
    <w:link w:val="Heading3"/>
    <w:uiPriority w:val="9"/>
    <w:rsid w:val="00984BE1"/>
    <w:rPr>
      <w:rFonts w:eastAsiaTheme="majorEastAsia" w:cstheme="majorBidi"/>
      <w:b/>
      <w:bCs/>
      <w:sz w:val="24"/>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1"/>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2"/>
      </w:numPr>
    </w:pPr>
  </w:style>
  <w:style w:type="paragraph" w:customStyle="1" w:styleId="FSBullet3">
    <w:name w:val="FSBullet 3"/>
    <w:basedOn w:val="Normal"/>
    <w:qFormat/>
    <w:rsid w:val="00F76F95"/>
    <w:pPr>
      <w:keepNext/>
      <w:numPr>
        <w:numId w:val="3"/>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BalloonText">
    <w:name w:val="Balloon Text"/>
    <w:basedOn w:val="Normal"/>
    <w:link w:val="BalloonTextChar"/>
    <w:uiPriority w:val="99"/>
    <w:semiHidden/>
    <w:unhideWhenUsed/>
    <w:rsid w:val="00514CCB"/>
    <w:rPr>
      <w:rFonts w:ascii="Tahoma" w:hAnsi="Tahoma" w:cs="Tahoma"/>
      <w:sz w:val="16"/>
      <w:szCs w:val="16"/>
    </w:rPr>
  </w:style>
  <w:style w:type="character" w:customStyle="1" w:styleId="BalloonTextChar">
    <w:name w:val="Balloon Text Char"/>
    <w:basedOn w:val="DefaultParagraphFont"/>
    <w:link w:val="BalloonText"/>
    <w:uiPriority w:val="99"/>
    <w:semiHidden/>
    <w:rsid w:val="00514CCB"/>
    <w:rPr>
      <w:rFonts w:ascii="Tahoma" w:hAnsi="Tahoma" w:cs="Tahoma"/>
      <w:sz w:val="16"/>
      <w:szCs w:val="16"/>
      <w:lang w:val="en-GB"/>
    </w:rPr>
  </w:style>
  <w:style w:type="character" w:styleId="FootnoteReference">
    <w:name w:val="footnote reference"/>
    <w:basedOn w:val="DefaultParagraphFont"/>
    <w:uiPriority w:val="99"/>
    <w:semiHidden/>
    <w:unhideWhenUsed/>
    <w:rsid w:val="00BE2117"/>
    <w:rPr>
      <w:vertAlign w:val="superscript"/>
    </w:rPr>
  </w:style>
  <w:style w:type="table" w:styleId="TableGrid">
    <w:name w:val="Table Grid"/>
    <w:basedOn w:val="TableNormal"/>
    <w:uiPriority w:val="59"/>
    <w:rsid w:val="00B37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9955B3"/>
    <w:pPr>
      <w:spacing w:after="100"/>
    </w:pPr>
  </w:style>
  <w:style w:type="paragraph" w:styleId="TOC3">
    <w:name w:val="toc 3"/>
    <w:basedOn w:val="Normal"/>
    <w:next w:val="Normal"/>
    <w:autoRedefine/>
    <w:uiPriority w:val="39"/>
    <w:unhideWhenUsed/>
    <w:qFormat/>
    <w:rsid w:val="009955B3"/>
    <w:pPr>
      <w:spacing w:after="100"/>
      <w:ind w:left="440"/>
    </w:pPr>
  </w:style>
  <w:style w:type="character" w:styleId="Hyperlink">
    <w:name w:val="Hyperlink"/>
    <w:basedOn w:val="DefaultParagraphFont"/>
    <w:uiPriority w:val="99"/>
    <w:unhideWhenUsed/>
    <w:rsid w:val="009955B3"/>
    <w:rPr>
      <w:color w:val="0000FF" w:themeColor="hyperlink"/>
      <w:u w:val="single"/>
    </w:rPr>
  </w:style>
  <w:style w:type="paragraph" w:styleId="TOC2">
    <w:name w:val="toc 2"/>
    <w:basedOn w:val="Normal"/>
    <w:next w:val="Normal"/>
    <w:autoRedefine/>
    <w:uiPriority w:val="39"/>
    <w:unhideWhenUsed/>
    <w:qFormat/>
    <w:rsid w:val="009955B3"/>
    <w:pPr>
      <w:spacing w:after="100" w:line="276" w:lineRule="auto"/>
      <w:ind w:left="220"/>
    </w:pPr>
    <w:rPr>
      <w:rFonts w:asciiTheme="minorHAnsi" w:eastAsiaTheme="minorEastAsia" w:hAnsiTheme="minorHAnsi"/>
      <w:lang w:val="en-US" w:eastAsia="ja-JP"/>
    </w:rPr>
  </w:style>
  <w:style w:type="paragraph" w:styleId="NoSpacing">
    <w:name w:val="No Spacing"/>
    <w:uiPriority w:val="1"/>
    <w:qFormat/>
    <w:rsid w:val="00CB5A11"/>
    <w:pPr>
      <w:spacing w:after="0" w:line="240" w:lineRule="auto"/>
    </w:pPr>
    <w:rPr>
      <w:rFonts w:cstheme="minorBidi"/>
      <w:lang w:val="en-GB"/>
    </w:rPr>
  </w:style>
  <w:style w:type="character" w:styleId="CommentReference">
    <w:name w:val="annotation reference"/>
    <w:basedOn w:val="DefaultParagraphFont"/>
    <w:uiPriority w:val="99"/>
    <w:semiHidden/>
    <w:unhideWhenUsed/>
    <w:rsid w:val="000B02B6"/>
    <w:rPr>
      <w:sz w:val="16"/>
      <w:szCs w:val="16"/>
    </w:rPr>
  </w:style>
  <w:style w:type="paragraph" w:styleId="CommentText">
    <w:name w:val="annotation text"/>
    <w:basedOn w:val="Normal"/>
    <w:link w:val="CommentTextChar"/>
    <w:uiPriority w:val="99"/>
    <w:semiHidden/>
    <w:unhideWhenUsed/>
    <w:rsid w:val="000B02B6"/>
    <w:rPr>
      <w:sz w:val="20"/>
      <w:szCs w:val="20"/>
    </w:rPr>
  </w:style>
  <w:style w:type="character" w:customStyle="1" w:styleId="CommentTextChar">
    <w:name w:val="Comment Text Char"/>
    <w:basedOn w:val="DefaultParagraphFont"/>
    <w:link w:val="CommentText"/>
    <w:uiPriority w:val="99"/>
    <w:semiHidden/>
    <w:rsid w:val="000B02B6"/>
    <w:rPr>
      <w:rFonts w:cstheme="minorBidi"/>
      <w:sz w:val="20"/>
      <w:szCs w:val="20"/>
      <w:lang w:val="en-GB"/>
    </w:rPr>
  </w:style>
  <w:style w:type="character" w:styleId="Strong">
    <w:name w:val="Strong"/>
    <w:basedOn w:val="DefaultParagraphFont"/>
    <w:uiPriority w:val="22"/>
    <w:qFormat/>
    <w:rsid w:val="005A5E7E"/>
    <w:rPr>
      <w:b/>
      <w:bCs/>
    </w:rPr>
  </w:style>
  <w:style w:type="paragraph" w:styleId="CommentSubject">
    <w:name w:val="annotation subject"/>
    <w:basedOn w:val="CommentText"/>
    <w:next w:val="CommentText"/>
    <w:link w:val="CommentSubjectChar"/>
    <w:uiPriority w:val="99"/>
    <w:semiHidden/>
    <w:unhideWhenUsed/>
    <w:rsid w:val="0017584A"/>
    <w:rPr>
      <w:b/>
      <w:bCs/>
    </w:rPr>
  </w:style>
  <w:style w:type="character" w:customStyle="1" w:styleId="CommentSubjectChar">
    <w:name w:val="Comment Subject Char"/>
    <w:basedOn w:val="CommentTextChar"/>
    <w:link w:val="CommentSubject"/>
    <w:uiPriority w:val="99"/>
    <w:semiHidden/>
    <w:rsid w:val="0017584A"/>
    <w:rPr>
      <w:rFonts w:cstheme="minorBidi"/>
      <w:b/>
      <w:bCs/>
      <w:sz w:val="20"/>
      <w:szCs w:val="20"/>
      <w:lang w:val="en-GB"/>
    </w:rPr>
  </w:style>
  <w:style w:type="character" w:customStyle="1" w:styleId="apple-style-span">
    <w:name w:val="apple-style-span"/>
    <w:basedOn w:val="DefaultParagraphFont"/>
    <w:rsid w:val="0015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6398">
      <w:bodyDiv w:val="1"/>
      <w:marLeft w:val="0"/>
      <w:marRight w:val="0"/>
      <w:marTop w:val="0"/>
      <w:marBottom w:val="0"/>
      <w:divBdr>
        <w:top w:val="none" w:sz="0" w:space="0" w:color="auto"/>
        <w:left w:val="none" w:sz="0" w:space="0" w:color="auto"/>
        <w:bottom w:val="none" w:sz="0" w:space="0" w:color="auto"/>
        <w:right w:val="none" w:sz="0" w:space="0" w:color="auto"/>
      </w:divBdr>
    </w:div>
    <w:div w:id="270749342">
      <w:bodyDiv w:val="1"/>
      <w:marLeft w:val="0"/>
      <w:marRight w:val="0"/>
      <w:marTop w:val="0"/>
      <w:marBottom w:val="0"/>
      <w:divBdr>
        <w:top w:val="none" w:sz="0" w:space="0" w:color="auto"/>
        <w:left w:val="none" w:sz="0" w:space="0" w:color="auto"/>
        <w:bottom w:val="none" w:sz="0" w:space="0" w:color="auto"/>
        <w:right w:val="none" w:sz="0" w:space="0" w:color="auto"/>
      </w:divBdr>
    </w:div>
    <w:div w:id="1002464755">
      <w:bodyDiv w:val="1"/>
      <w:marLeft w:val="0"/>
      <w:marRight w:val="0"/>
      <w:marTop w:val="0"/>
      <w:marBottom w:val="0"/>
      <w:divBdr>
        <w:top w:val="none" w:sz="0" w:space="0" w:color="auto"/>
        <w:left w:val="none" w:sz="0" w:space="0" w:color="auto"/>
        <w:bottom w:val="none" w:sz="0" w:space="0" w:color="auto"/>
        <w:right w:val="none" w:sz="0" w:space="0" w:color="auto"/>
      </w:divBdr>
    </w:div>
    <w:div w:id="1216157231">
      <w:bodyDiv w:val="1"/>
      <w:marLeft w:val="0"/>
      <w:marRight w:val="0"/>
      <w:marTop w:val="0"/>
      <w:marBottom w:val="0"/>
      <w:divBdr>
        <w:top w:val="none" w:sz="0" w:space="0" w:color="auto"/>
        <w:left w:val="none" w:sz="0" w:space="0" w:color="auto"/>
        <w:bottom w:val="none" w:sz="0" w:space="0" w:color="auto"/>
        <w:right w:val="none" w:sz="0" w:space="0" w:color="auto"/>
      </w:divBdr>
    </w:div>
    <w:div w:id="20119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3C5A3A2E-5B3D-4B7A-8855-5C53A0D92BD9}"/>
</file>

<file path=customXml/itemProps2.xml><?xml version="1.0" encoding="utf-8"?>
<ds:datastoreItem xmlns:ds="http://schemas.openxmlformats.org/officeDocument/2006/customXml" ds:itemID="{2922EDE4-4112-4DD1-9010-9A92A06B63A1}"/>
</file>

<file path=customXml/itemProps3.xml><?xml version="1.0" encoding="utf-8"?>
<ds:datastoreItem xmlns:ds="http://schemas.openxmlformats.org/officeDocument/2006/customXml" ds:itemID="{649E762D-77DD-4B59-BFAE-B892E13E726E}"/>
</file>

<file path=customXml/itemProps4.xml><?xml version="1.0" encoding="utf-8"?>
<ds:datastoreItem xmlns:ds="http://schemas.openxmlformats.org/officeDocument/2006/customXml" ds:itemID="{E388140E-2D0F-42D8-85CA-5C2807067E65}"/>
</file>

<file path=docProps/app.xml><?xml version="1.0" encoding="utf-8"?>
<Properties xmlns="http://schemas.openxmlformats.org/officeDocument/2006/extended-properties" xmlns:vt="http://schemas.openxmlformats.org/officeDocument/2006/docPropsVTypes">
  <Template>Normal</Template>
  <TotalTime>0</TotalTime>
  <Pages>4</Pages>
  <Words>10577</Words>
  <Characters>59337</Characters>
  <Application>Microsoft Office Word</Application>
  <DocSecurity>4</DocSecurity>
  <Lines>1141</Lines>
  <Paragraphs>279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2013-07-16T04:45:00Z</dcterms:created>
  <dcterms:modified xsi:type="dcterms:W3CDTF">2013-07-16T04:45:00Z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ies>
</file>